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dodocumento"/>
        <w:spacing w:before="120" w:after="240"/>
        <w:rPr>
          <w:rFonts w:ascii="Calibri" w:hAnsi="Calibri"/>
          <w:sz w:val="24"/>
          <w:szCs w:val="24"/>
        </w:rPr>
      </w:pPr>
      <w:r>
        <w:rPr>
          <w:rFonts w:eastAsia="Times New Roman" w:cs="Times New Roman" w:ascii="Calibri" w:hAnsi="Calibri"/>
          <w:b/>
          <w:bCs/>
          <w:caps/>
          <w:color w:val="000000"/>
          <w:sz w:val="24"/>
          <w:szCs w:val="24"/>
          <w:lang w:eastAsia="pt-BR"/>
        </w:rPr>
        <w:t>RESOLUÇÃO Nº 04/CONPRESP/2022</w:t>
      </w:r>
    </w:p>
    <w:p>
      <w:pPr>
        <w:pStyle w:val="Normal"/>
        <w:spacing w:lineRule="auto" w:line="240" w:beforeAutospacing="1" w:after="0"/>
        <w:jc w:val="both"/>
        <w:rPr>
          <w:rFonts w:ascii="Calibri" w:hAnsi="Calibri"/>
          <w:sz w:val="22"/>
          <w:szCs w:val="22"/>
        </w:rPr>
      </w:pPr>
      <w:r>
        <w:rPr>
          <w:rFonts w:eastAsia="Times New Roman" w:cs="Times New Roman" w:ascii="Calibri" w:hAnsi="Calibri"/>
          <w:color w:val="000000"/>
          <w:sz w:val="22"/>
          <w:szCs w:val="22"/>
          <w:lang w:eastAsia="pt-BR"/>
        </w:rPr>
        <w:t xml:space="preserve">O Conselho Municipal de Preservação do Patrimônio Histórico, Cultural e Ambiental da Cidade de São Paulo - CONPRESP, no uso de suas atribuições legais e nos termos da Lei nº 10.032, de 27 de dezembro de 1985, e alterações posteriores, e de acordo com a decisão dos Conselheiros presentes à </w:t>
      </w:r>
      <w:r>
        <w:rPr>
          <w:rFonts w:eastAsia="Times New Roman" w:cs="Times New Roman" w:ascii="Calibri" w:hAnsi="Calibri"/>
          <w:b/>
          <w:bCs/>
          <w:color w:val="000000"/>
          <w:sz w:val="22"/>
          <w:szCs w:val="22"/>
          <w:lang w:eastAsia="pt-BR"/>
        </w:rPr>
        <w:t xml:space="preserve">758ª Reunião Ordinária realizada em 27 de junho de 2022 </w:t>
      </w:r>
      <w:r>
        <w:rPr>
          <w:rFonts w:eastAsia="Times New Roman" w:cs="Times New Roman" w:ascii="Calibri" w:hAnsi="Calibri"/>
          <w:color w:val="000000"/>
          <w:sz w:val="22"/>
          <w:szCs w:val="22"/>
          <w:lang w:eastAsia="pt-BR"/>
        </w:rPr>
        <w:t>e;</w:t>
      </w:r>
    </w:p>
    <w:p>
      <w:pPr>
        <w:pStyle w:val="Normal"/>
        <w:spacing w:lineRule="auto" w:line="240" w:beforeAutospacing="1" w:after="0"/>
        <w:jc w:val="both"/>
        <w:rPr>
          <w:rFonts w:ascii="Calibri" w:hAnsi="Calibri"/>
          <w:sz w:val="22"/>
          <w:szCs w:val="22"/>
        </w:rPr>
      </w:pPr>
      <w:r>
        <w:rPr>
          <w:rFonts w:eastAsia="Times New Roman" w:cs="Times New Roman" w:ascii="Calibri" w:hAnsi="Calibri"/>
          <w:b/>
          <w:bCs/>
          <w:color w:val="000000"/>
          <w:sz w:val="22"/>
          <w:szCs w:val="22"/>
          <w:lang w:eastAsia="pt-BR"/>
        </w:rPr>
        <w:t xml:space="preserve">CONSIDERANDO </w:t>
      </w:r>
      <w:r>
        <w:rPr>
          <w:rFonts w:eastAsia="Times New Roman" w:cs="Times New Roman" w:ascii="Calibri" w:hAnsi="Calibri"/>
          <w:color w:val="000000"/>
          <w:sz w:val="22"/>
          <w:szCs w:val="22"/>
          <w:lang w:eastAsia="pt-BR"/>
        </w:rPr>
        <w:t xml:space="preserve">o tombamento de </w:t>
      </w:r>
      <w:r>
        <w:rPr>
          <w:rFonts w:eastAsia="Times New Roman" w:cs="Times New Roman" w:ascii="Calibri" w:hAnsi="Calibri"/>
          <w:b/>
          <w:bCs/>
          <w:color w:val="000000"/>
          <w:sz w:val="22"/>
          <w:szCs w:val="22"/>
          <w:lang w:eastAsia="pt-BR"/>
        </w:rPr>
        <w:t xml:space="preserve">Duas Casas projetadas pelo Arquiteto Rodrigo Brotero Lefèvre </w:t>
      </w:r>
      <w:r>
        <w:rPr>
          <w:rFonts w:eastAsia="Times New Roman" w:cs="Times New Roman" w:ascii="Calibri" w:hAnsi="Calibri"/>
          <w:color w:val="000000"/>
          <w:sz w:val="22"/>
          <w:szCs w:val="22"/>
          <w:lang w:eastAsia="pt-BR"/>
        </w:rPr>
        <w:t xml:space="preserve">na Resolução 34/Conpresp/2018, a saber: 1. </w:t>
      </w:r>
      <w:r>
        <w:rPr>
          <w:rFonts w:eastAsia="Times New Roman" w:cs="Times New Roman" w:ascii="Calibri" w:hAnsi="Calibri"/>
          <w:b/>
          <w:bCs/>
          <w:color w:val="000000"/>
          <w:sz w:val="22"/>
          <w:szCs w:val="22"/>
          <w:lang w:eastAsia="pt-BR"/>
        </w:rPr>
        <w:t xml:space="preserve">Casa Pery Campos </w:t>
      </w:r>
      <w:r>
        <w:rPr>
          <w:rFonts w:eastAsia="Times New Roman" w:cs="Times New Roman" w:ascii="Calibri" w:hAnsi="Calibri"/>
          <w:color w:val="000000"/>
          <w:sz w:val="22"/>
          <w:szCs w:val="22"/>
          <w:lang w:eastAsia="pt-BR"/>
        </w:rPr>
        <w:t xml:space="preserve">e 2. </w:t>
      </w:r>
      <w:r>
        <w:rPr>
          <w:rFonts w:eastAsia="Times New Roman" w:cs="Times New Roman" w:ascii="Calibri" w:hAnsi="Calibri"/>
          <w:b/>
          <w:bCs/>
          <w:color w:val="000000"/>
          <w:sz w:val="22"/>
          <w:szCs w:val="22"/>
          <w:lang w:eastAsia="pt-BR"/>
        </w:rPr>
        <w:t>Casa Dino Zammataro</w:t>
      </w:r>
      <w:r>
        <w:rPr>
          <w:rFonts w:eastAsia="Times New Roman" w:cs="Times New Roman" w:ascii="Calibri" w:hAnsi="Calibri"/>
          <w:color w:val="000000"/>
          <w:sz w:val="22"/>
          <w:szCs w:val="22"/>
          <w:lang w:eastAsia="pt-BR"/>
        </w:rPr>
        <w:t>;</w:t>
      </w:r>
    </w:p>
    <w:p>
      <w:pPr>
        <w:pStyle w:val="Normal"/>
        <w:spacing w:lineRule="auto" w:line="240" w:beforeAutospacing="1" w:after="0"/>
        <w:jc w:val="both"/>
        <w:rPr>
          <w:rFonts w:ascii="Calibri" w:hAnsi="Calibri"/>
          <w:sz w:val="22"/>
          <w:szCs w:val="22"/>
        </w:rPr>
      </w:pPr>
      <w:r>
        <w:rPr>
          <w:rFonts w:eastAsia="Times New Roman" w:cs="Times New Roman" w:ascii="Calibri" w:hAnsi="Calibri"/>
          <w:b/>
          <w:bCs/>
          <w:color w:val="000000"/>
          <w:sz w:val="22"/>
          <w:szCs w:val="22"/>
          <w:lang w:eastAsia="pt-BR"/>
        </w:rPr>
        <w:t xml:space="preserve">CONSIDERANDO </w:t>
      </w:r>
      <w:r>
        <w:rPr>
          <w:rFonts w:eastAsia="Times New Roman" w:cs="Times New Roman" w:ascii="Calibri" w:hAnsi="Calibri"/>
          <w:color w:val="000000"/>
          <w:sz w:val="22"/>
          <w:szCs w:val="22"/>
          <w:lang w:eastAsia="pt-BR"/>
        </w:rPr>
        <w:t>o contido no Processo Administrativo nº 2018-0.017.505-8;</w:t>
      </w:r>
    </w:p>
    <w:p>
      <w:pPr>
        <w:pStyle w:val="Normal"/>
        <w:spacing w:lineRule="auto" w:line="240" w:beforeAutospacing="1" w:after="0"/>
        <w:jc w:val="both"/>
        <w:rPr>
          <w:rFonts w:ascii="Calibri" w:hAnsi="Calibri"/>
          <w:sz w:val="22"/>
          <w:szCs w:val="22"/>
        </w:rPr>
      </w:pPr>
      <w:r>
        <w:rPr>
          <w:rFonts w:eastAsia="Times New Roman" w:cs="Times New Roman" w:ascii="Calibri" w:hAnsi="Calibri"/>
          <w:b/>
          <w:bCs/>
          <w:color w:val="000000"/>
          <w:sz w:val="22"/>
          <w:szCs w:val="22"/>
          <w:lang w:eastAsia="pt-BR"/>
        </w:rPr>
        <w:t xml:space="preserve">CONSIDERANDO </w:t>
      </w:r>
      <w:r>
        <w:rPr>
          <w:rFonts w:eastAsia="Times New Roman" w:cs="Times New Roman" w:ascii="Calibri" w:hAnsi="Calibri"/>
          <w:color w:val="000000"/>
          <w:sz w:val="22"/>
          <w:szCs w:val="22"/>
          <w:lang w:eastAsia="pt-BR"/>
        </w:rPr>
        <w:t>o Processo SEI 6025.2021/0015621-7; e,</w:t>
      </w:r>
    </w:p>
    <w:p>
      <w:pPr>
        <w:pStyle w:val="Normal"/>
        <w:spacing w:lineRule="auto" w:line="240" w:beforeAutospacing="1" w:after="0"/>
        <w:jc w:val="both"/>
        <w:rPr>
          <w:rFonts w:ascii="Calibri" w:hAnsi="Calibri"/>
          <w:sz w:val="22"/>
          <w:szCs w:val="22"/>
        </w:rPr>
      </w:pPr>
      <w:r>
        <w:rPr>
          <w:rFonts w:eastAsia="Times New Roman" w:cs="Times New Roman" w:ascii="Calibri" w:hAnsi="Calibri"/>
          <w:b/>
          <w:bCs/>
          <w:color w:val="000000"/>
          <w:sz w:val="22"/>
          <w:szCs w:val="22"/>
          <w:lang w:eastAsia="pt-BR"/>
        </w:rPr>
        <w:t xml:space="preserve">CONSIDERANDO </w:t>
      </w:r>
      <w:r>
        <w:rPr>
          <w:rFonts w:eastAsia="Times New Roman" w:cs="Times New Roman" w:ascii="Calibri" w:hAnsi="Calibri"/>
          <w:color w:val="000000"/>
          <w:sz w:val="22"/>
          <w:szCs w:val="22"/>
          <w:lang w:eastAsia="pt-BR"/>
        </w:rPr>
        <w:t xml:space="preserve">o estudo realizado a partir da solicitação de estabelecimento de Área Envoltória dos atuais proprietários da chamada </w:t>
      </w:r>
      <w:r>
        <w:rPr>
          <w:rFonts w:eastAsia="Times New Roman" w:cs="Times New Roman" w:ascii="Calibri" w:hAnsi="Calibri"/>
          <w:i/>
          <w:iCs/>
          <w:color w:val="000000"/>
          <w:sz w:val="22"/>
          <w:szCs w:val="22"/>
          <w:lang w:eastAsia="pt-BR"/>
        </w:rPr>
        <w:t>Casa Pery Campos</w:t>
      </w:r>
      <w:r>
        <w:rPr>
          <w:rFonts w:eastAsia="Times New Roman" w:cs="Times New Roman" w:ascii="Calibri" w:hAnsi="Calibri"/>
          <w:color w:val="000000"/>
          <w:sz w:val="22"/>
          <w:szCs w:val="22"/>
          <w:lang w:eastAsia="pt-BR"/>
        </w:rPr>
        <w:t xml:space="preserve">, estendido à </w:t>
      </w:r>
      <w:r>
        <w:rPr>
          <w:rFonts w:eastAsia="Times New Roman" w:cs="Times New Roman" w:ascii="Calibri" w:hAnsi="Calibri"/>
          <w:i/>
          <w:iCs/>
          <w:color w:val="000000"/>
          <w:sz w:val="22"/>
          <w:szCs w:val="22"/>
          <w:lang w:eastAsia="pt-BR"/>
        </w:rPr>
        <w:t>Casa Dino Zammataro</w:t>
      </w:r>
      <w:r>
        <w:rPr>
          <w:rFonts w:eastAsia="Times New Roman" w:cs="Times New Roman" w:ascii="Calibri" w:hAnsi="Calibri"/>
          <w:color w:val="000000"/>
          <w:sz w:val="22"/>
          <w:szCs w:val="22"/>
          <w:lang w:eastAsia="pt-BR"/>
        </w:rPr>
        <w:t>, em vista de alterações na ocupação do solo e na legislação urbana que colocam situações de vulnerabilidade aos bens tombados;</w:t>
      </w:r>
    </w:p>
    <w:p>
      <w:pPr>
        <w:pStyle w:val="Normal"/>
        <w:spacing w:lineRule="auto" w:line="240" w:beforeAutospacing="1" w:after="0"/>
        <w:jc w:val="both"/>
        <w:rPr>
          <w:rFonts w:ascii="Calibri" w:hAnsi="Calibri"/>
          <w:sz w:val="22"/>
          <w:szCs w:val="22"/>
        </w:rPr>
      </w:pPr>
      <w:r>
        <w:rPr>
          <w:rFonts w:eastAsia="Times New Roman" w:cs="Times New Roman" w:ascii="Calibri" w:hAnsi="Calibri"/>
          <w:b/>
          <w:bCs/>
          <w:color w:val="000000"/>
          <w:sz w:val="22"/>
          <w:szCs w:val="22"/>
          <w:lang w:eastAsia="pt-BR"/>
        </w:rPr>
        <w:t>RESOLVE:</w:t>
      </w:r>
    </w:p>
    <w:p>
      <w:pPr>
        <w:pStyle w:val="Normal"/>
        <w:spacing w:lineRule="auto" w:line="240" w:beforeAutospacing="1" w:after="0"/>
        <w:jc w:val="both"/>
        <w:rPr>
          <w:rFonts w:ascii="Calibri" w:hAnsi="Calibri"/>
          <w:sz w:val="22"/>
          <w:szCs w:val="22"/>
        </w:rPr>
      </w:pPr>
      <w:r>
        <w:rPr>
          <w:rFonts w:eastAsia="Times New Roman" w:cs="Times New Roman" w:ascii="Calibri" w:hAnsi="Calibri"/>
          <w:b/>
          <w:bCs/>
          <w:color w:val="000000"/>
          <w:sz w:val="22"/>
          <w:szCs w:val="22"/>
          <w:lang w:eastAsia="pt-BR"/>
        </w:rPr>
        <w:t xml:space="preserve">Artigo 1º </w:t>
      </w:r>
      <w:r>
        <w:rPr>
          <w:rFonts w:eastAsia="Times New Roman" w:cs="Times New Roman" w:ascii="Calibri" w:hAnsi="Calibri"/>
          <w:color w:val="000000"/>
          <w:sz w:val="22"/>
          <w:szCs w:val="22"/>
          <w:lang w:eastAsia="pt-BR"/>
        </w:rPr>
        <w:t xml:space="preserve">- </w:t>
      </w:r>
      <w:r>
        <w:rPr>
          <w:rFonts w:eastAsia="Times New Roman" w:cs="Times New Roman" w:ascii="Calibri" w:hAnsi="Calibri"/>
          <w:b/>
          <w:bCs/>
          <w:color w:val="000000"/>
          <w:sz w:val="22"/>
          <w:szCs w:val="22"/>
          <w:lang w:eastAsia="pt-BR"/>
        </w:rPr>
        <w:t>Alterar a redação do Artigo 2º, da Resolução 34/CONPRESP/2018</w:t>
      </w:r>
      <w:r>
        <w:rPr>
          <w:rFonts w:eastAsia="Times New Roman" w:cs="Times New Roman" w:ascii="Calibri" w:hAnsi="Calibri"/>
          <w:color w:val="000000"/>
          <w:sz w:val="22"/>
          <w:szCs w:val="22"/>
          <w:lang w:eastAsia="pt-BR"/>
        </w:rPr>
        <w:t>, que passará a ter a seguinte redação:</w:t>
      </w:r>
    </w:p>
    <w:p>
      <w:pPr>
        <w:pStyle w:val="Normal"/>
        <w:spacing w:lineRule="auto" w:line="240" w:beforeAutospacing="1" w:after="0"/>
        <w:jc w:val="both"/>
        <w:rPr>
          <w:rFonts w:ascii="Calibri" w:hAnsi="Calibri"/>
          <w:sz w:val="22"/>
          <w:szCs w:val="22"/>
        </w:rPr>
      </w:pPr>
      <w:r>
        <w:rPr>
          <w:rFonts w:eastAsia="Times New Roman" w:cs="Times New Roman" w:ascii="Calibri" w:hAnsi="Calibri"/>
          <w:color w:val="000000"/>
          <w:sz w:val="22"/>
          <w:szCs w:val="22"/>
          <w:lang w:eastAsia="pt-BR"/>
        </w:rPr>
        <w:t>“</w:t>
      </w:r>
      <w:r>
        <w:rPr>
          <w:rFonts w:eastAsia="Times New Roman" w:cs="Times New Roman" w:ascii="Calibri" w:hAnsi="Calibri"/>
          <w:color w:val="000000"/>
          <w:sz w:val="22"/>
          <w:szCs w:val="22"/>
          <w:lang w:eastAsia="pt-BR"/>
        </w:rPr>
        <w:t>Artigo 2º - Ficam estabelecidas Áreas Envoltórias para as duas casas tombadas, conforme abaixo especificado:</w:t>
      </w:r>
    </w:p>
    <w:p>
      <w:pPr>
        <w:pStyle w:val="Normal"/>
        <w:spacing w:lineRule="auto" w:line="240" w:beforeAutospacing="1" w:after="0"/>
        <w:jc w:val="both"/>
        <w:rPr>
          <w:rFonts w:ascii="Calibri" w:hAnsi="Calibri"/>
          <w:sz w:val="22"/>
          <w:szCs w:val="22"/>
        </w:rPr>
      </w:pPr>
      <w:r>
        <w:rPr>
          <w:rFonts w:eastAsia="Times New Roman" w:cs="Times New Roman" w:ascii="Calibri" w:hAnsi="Calibri"/>
          <w:color w:val="000000"/>
          <w:sz w:val="22"/>
          <w:szCs w:val="22"/>
          <w:lang w:eastAsia="pt-BR"/>
        </w:rPr>
        <w:t>“</w:t>
      </w:r>
      <w:r>
        <w:rPr>
          <w:rFonts w:eastAsia="Times New Roman" w:cs="Times New Roman" w:ascii="Calibri" w:hAnsi="Calibri"/>
          <w:color w:val="000000"/>
          <w:sz w:val="22"/>
          <w:szCs w:val="22"/>
          <w:lang w:eastAsia="pt-BR"/>
        </w:rPr>
        <w:t xml:space="preserve">I. </w:t>
      </w:r>
      <w:r>
        <w:rPr>
          <w:rFonts w:eastAsia="Times New Roman" w:cs="Times New Roman" w:ascii="Calibri" w:hAnsi="Calibri"/>
          <w:b/>
          <w:bCs/>
          <w:color w:val="000000"/>
          <w:sz w:val="22"/>
          <w:szCs w:val="22"/>
          <w:lang w:eastAsia="pt-BR"/>
        </w:rPr>
        <w:t>Casa Pery Campos</w:t>
      </w:r>
      <w:r>
        <w:rPr>
          <w:rFonts w:eastAsia="Times New Roman" w:cs="Times New Roman" w:ascii="Calibri" w:hAnsi="Calibri"/>
          <w:color w:val="000000"/>
          <w:sz w:val="22"/>
          <w:szCs w:val="22"/>
          <w:lang w:eastAsia="pt-BR"/>
        </w:rPr>
        <w:t>: as áreas envoltórias serão constituídas pelos lotes discriminados na tabela que segue, para os quais fica definida altura máxima de 10 metros para futuras construções, com exceção do lote de SQL 088.090.0056-0 para o qual fica estabelecido um recuo lateral direito de 3,0 metros e do lote de SQL 088.090.0053-6 para o qual fica estabelecido recuo lateral esquerdo de 4,0 metros, ambos com altura máxima de 10,0 metros para futuras construções.</w:t>
      </w:r>
    </w:p>
    <w:p>
      <w:pPr>
        <w:pStyle w:val="Normal"/>
        <w:spacing w:lineRule="auto" w:line="240" w:beforeAutospacing="1" w:after="0"/>
        <w:rPr>
          <w:rFonts w:ascii="Calibri" w:hAnsi="Calibri" w:eastAsia="Times New Roman" w:cs="Times New Roman"/>
          <w:color w:val="000000"/>
          <w:sz w:val="22"/>
          <w:szCs w:val="22"/>
          <w:lang w:eastAsia="pt-BR"/>
        </w:rPr>
      </w:pPr>
      <w:r>
        <w:rPr>
          <w:rFonts w:eastAsia="Times New Roman" w:cs="Times New Roman" w:ascii="Calibri" w:hAnsi="Calibri"/>
          <w:color w:val="000000"/>
          <w:sz w:val="22"/>
          <w:szCs w:val="22"/>
          <w:lang w:eastAsia="pt-BR"/>
        </w:rPr>
      </w:r>
    </w:p>
    <w:tbl>
      <w:tblPr>
        <w:tblStyle w:val="Tabelacomgrade"/>
        <w:tblW w:w="9296" w:type="dxa"/>
        <w:jc w:val="left"/>
        <w:tblInd w:w="92" w:type="dxa"/>
        <w:tblLayout w:type="fixed"/>
        <w:tblCellMar>
          <w:top w:w="28" w:type="dxa"/>
          <w:left w:w="57" w:type="dxa"/>
          <w:bottom w:w="28" w:type="dxa"/>
          <w:right w:w="57" w:type="dxa"/>
        </w:tblCellMar>
        <w:tblLook w:val="04a0"/>
      </w:tblPr>
      <w:tblGrid>
        <w:gridCol w:w="911"/>
        <w:gridCol w:w="1757"/>
        <w:gridCol w:w="2212"/>
        <w:gridCol w:w="2252"/>
        <w:gridCol w:w="2164"/>
      </w:tblGrid>
      <w:tr>
        <w:trPr>
          <w:trHeight w:val="315" w:hRule="atLeast"/>
        </w:trPr>
        <w:tc>
          <w:tcPr>
            <w:tcW w:w="9296" w:type="dxa"/>
            <w:gridSpan w:val="5"/>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b/>
                <w:kern w:val="0"/>
                <w:sz w:val="22"/>
                <w:szCs w:val="22"/>
                <w:lang w:val="pt-BR" w:eastAsia="en-US" w:bidi="ar-SA"/>
              </w:rPr>
              <w:t>Lotes da área envoltória – Casa Pery Campos</w:t>
            </w:r>
          </w:p>
        </w:tc>
      </w:tr>
      <w:tr>
        <w:trPr>
          <w:trHeight w:val="525" w:hRule="atLeast"/>
        </w:trPr>
        <w:tc>
          <w:tcPr>
            <w:tcW w:w="911"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b/>
                <w:kern w:val="0"/>
                <w:sz w:val="22"/>
                <w:szCs w:val="22"/>
                <w:lang w:val="pt-BR" w:eastAsia="en-US" w:bidi="ar-SA"/>
              </w:rPr>
              <w:t>Lotes</w:t>
            </w:r>
          </w:p>
        </w:tc>
        <w:tc>
          <w:tcPr>
            <w:tcW w:w="1757"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b/>
                <w:kern w:val="0"/>
                <w:sz w:val="22"/>
                <w:szCs w:val="22"/>
                <w:lang w:val="pt-BR" w:eastAsia="en-US" w:bidi="ar-SA"/>
              </w:rPr>
              <w:t>SQL</w:t>
            </w:r>
          </w:p>
        </w:tc>
        <w:tc>
          <w:tcPr>
            <w:tcW w:w="221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b/>
                <w:kern w:val="0"/>
                <w:sz w:val="22"/>
                <w:szCs w:val="22"/>
                <w:lang w:val="pt-BR" w:eastAsia="en-US" w:bidi="ar-SA"/>
              </w:rPr>
              <w:t>Endereço</w:t>
            </w:r>
          </w:p>
        </w:tc>
        <w:tc>
          <w:tcPr>
            <w:tcW w:w="225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b/>
                <w:kern w:val="0"/>
                <w:sz w:val="22"/>
                <w:szCs w:val="22"/>
                <w:lang w:val="pt-BR" w:eastAsia="en-US" w:bidi="ar-SA"/>
              </w:rPr>
              <w:t>Diretriz de ocupação</w:t>
            </w:r>
          </w:p>
        </w:tc>
        <w:tc>
          <w:tcPr>
            <w:tcW w:w="2164"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b/>
                <w:kern w:val="0"/>
                <w:sz w:val="22"/>
                <w:szCs w:val="22"/>
                <w:lang w:val="pt-BR" w:eastAsia="en-US" w:bidi="ar-SA"/>
              </w:rPr>
              <w:t>11º Cartório de Registro de Imóveis Matrículas-M ou Transcrições-T</w:t>
            </w:r>
          </w:p>
        </w:tc>
      </w:tr>
      <w:tr>
        <w:trPr>
          <w:trHeight w:val="975" w:hRule="atLeast"/>
        </w:trPr>
        <w:tc>
          <w:tcPr>
            <w:tcW w:w="911"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eastAsia="Calibri" w:cs="Calibri"/>
                <w:sz w:val="22"/>
                <w:szCs w:val="22"/>
              </w:rPr>
            </w:pPr>
            <w:r>
              <w:rPr>
                <w:rFonts w:eastAsia="Calibri" w:cs="Calibri" w:ascii="Calibri" w:hAnsi="Calibri"/>
                <w:kern w:val="0"/>
                <w:sz w:val="22"/>
                <w:szCs w:val="22"/>
                <w:lang w:val="pt-BR" w:eastAsia="en-US" w:bidi="ar-SA"/>
              </w:rPr>
              <w:t>CD 01</w:t>
            </w:r>
          </w:p>
        </w:tc>
        <w:tc>
          <w:tcPr>
            <w:tcW w:w="1757"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088.090.0057-9 a 0065-1</w:t>
            </w:r>
          </w:p>
        </w:tc>
        <w:tc>
          <w:tcPr>
            <w:tcW w:w="221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R. São Benedito, 1108 (Cond. Dolce Villa)</w:t>
            </w:r>
          </w:p>
        </w:tc>
        <w:tc>
          <w:tcPr>
            <w:tcW w:w="225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Altura máxima = 10m</w:t>
            </w:r>
          </w:p>
        </w:tc>
        <w:tc>
          <w:tcPr>
            <w:tcW w:w="2164"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M 320.246 a 320.254 - 11º CRI</w:t>
            </w:r>
          </w:p>
        </w:tc>
      </w:tr>
      <w:tr>
        <w:trPr>
          <w:trHeight w:val="975" w:hRule="atLeast"/>
        </w:trPr>
        <w:tc>
          <w:tcPr>
            <w:tcW w:w="911"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0009</w:t>
            </w:r>
          </w:p>
        </w:tc>
        <w:tc>
          <w:tcPr>
            <w:tcW w:w="1757"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088.090.0009-9</w:t>
            </w:r>
          </w:p>
        </w:tc>
        <w:tc>
          <w:tcPr>
            <w:tcW w:w="221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R. São Benedito, 1092</w:t>
            </w:r>
          </w:p>
        </w:tc>
        <w:tc>
          <w:tcPr>
            <w:tcW w:w="225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Altura máxima = 10m</w:t>
            </w:r>
          </w:p>
        </w:tc>
        <w:tc>
          <w:tcPr>
            <w:tcW w:w="2164"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T 123.772 de 05/01/1963</w:t>
            </w:r>
          </w:p>
        </w:tc>
      </w:tr>
      <w:tr>
        <w:trPr>
          <w:trHeight w:val="975" w:hRule="atLeast"/>
        </w:trPr>
        <w:tc>
          <w:tcPr>
            <w:tcW w:w="911"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0051</w:t>
            </w:r>
          </w:p>
        </w:tc>
        <w:tc>
          <w:tcPr>
            <w:tcW w:w="1757"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088.090.0051-1</w:t>
            </w:r>
          </w:p>
        </w:tc>
        <w:tc>
          <w:tcPr>
            <w:tcW w:w="221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R. São Benedito, 1074</w:t>
            </w:r>
          </w:p>
        </w:tc>
        <w:tc>
          <w:tcPr>
            <w:tcW w:w="225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Altura máxima = 10m</w:t>
            </w:r>
          </w:p>
        </w:tc>
        <w:tc>
          <w:tcPr>
            <w:tcW w:w="2164"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M 351.429</w:t>
            </w:r>
          </w:p>
        </w:tc>
      </w:tr>
      <w:tr>
        <w:trPr>
          <w:trHeight w:val="975" w:hRule="atLeast"/>
        </w:trPr>
        <w:tc>
          <w:tcPr>
            <w:tcW w:w="911"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0010</w:t>
            </w:r>
          </w:p>
        </w:tc>
        <w:tc>
          <w:tcPr>
            <w:tcW w:w="1757"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088.090.0010-2</w:t>
            </w:r>
          </w:p>
        </w:tc>
        <w:tc>
          <w:tcPr>
            <w:tcW w:w="221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R. São Benedito, 1062</w:t>
            </w:r>
          </w:p>
        </w:tc>
        <w:tc>
          <w:tcPr>
            <w:tcW w:w="225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Altura máxima = 10m</w:t>
            </w:r>
          </w:p>
        </w:tc>
        <w:tc>
          <w:tcPr>
            <w:tcW w:w="2164"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M 266.599</w:t>
            </w:r>
          </w:p>
        </w:tc>
      </w:tr>
      <w:tr>
        <w:trPr>
          <w:trHeight w:val="1200" w:hRule="atLeast"/>
        </w:trPr>
        <w:tc>
          <w:tcPr>
            <w:tcW w:w="911"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0053</w:t>
            </w:r>
          </w:p>
        </w:tc>
        <w:tc>
          <w:tcPr>
            <w:tcW w:w="1757"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088.090.0053-6</w:t>
            </w:r>
          </w:p>
        </w:tc>
        <w:tc>
          <w:tcPr>
            <w:tcW w:w="221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R. Comendador Elias Zarzur, s/n</w:t>
            </w:r>
          </w:p>
        </w:tc>
        <w:tc>
          <w:tcPr>
            <w:tcW w:w="225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Altura máxima = 10m</w:t>
            </w:r>
          </w:p>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Recuo lateral obrigatório de 4 m contíguo ao lote tombado</w:t>
            </w:r>
          </w:p>
        </w:tc>
        <w:tc>
          <w:tcPr>
            <w:tcW w:w="2164"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M 169.881</w:t>
            </w:r>
          </w:p>
        </w:tc>
      </w:tr>
      <w:tr>
        <w:trPr>
          <w:trHeight w:val="1200" w:hRule="atLeast"/>
        </w:trPr>
        <w:tc>
          <w:tcPr>
            <w:tcW w:w="911"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0056</w:t>
            </w:r>
          </w:p>
        </w:tc>
        <w:tc>
          <w:tcPr>
            <w:tcW w:w="1757"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088.090.0056-0</w:t>
            </w:r>
          </w:p>
        </w:tc>
        <w:tc>
          <w:tcPr>
            <w:tcW w:w="221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R. Comendador Elias Zarzur, 879</w:t>
            </w:r>
          </w:p>
        </w:tc>
        <w:tc>
          <w:tcPr>
            <w:tcW w:w="225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Altura máxima = 10m</w:t>
            </w:r>
          </w:p>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Recuo lateral obrigatório de 3m contíguo ao lote tombado</w:t>
            </w:r>
          </w:p>
        </w:tc>
        <w:tc>
          <w:tcPr>
            <w:tcW w:w="2164"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M 234.070</w:t>
            </w:r>
          </w:p>
        </w:tc>
      </w:tr>
      <w:tr>
        <w:trPr>
          <w:trHeight w:val="1186" w:hRule="atLeast"/>
        </w:trPr>
        <w:tc>
          <w:tcPr>
            <w:tcW w:w="911"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0001</w:t>
            </w:r>
          </w:p>
        </w:tc>
        <w:tc>
          <w:tcPr>
            <w:tcW w:w="1757"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088.090.0001-3</w:t>
            </w:r>
          </w:p>
        </w:tc>
        <w:tc>
          <w:tcPr>
            <w:tcW w:w="221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R. Comendador Elias Zarzur, 877</w:t>
            </w:r>
          </w:p>
        </w:tc>
        <w:tc>
          <w:tcPr>
            <w:tcW w:w="225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Altura máxima = 10m</w:t>
            </w:r>
          </w:p>
        </w:tc>
        <w:tc>
          <w:tcPr>
            <w:tcW w:w="2164"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M 153.367</w:t>
            </w:r>
          </w:p>
        </w:tc>
      </w:tr>
      <w:tr>
        <w:trPr>
          <w:trHeight w:val="975" w:hRule="atLeast"/>
        </w:trPr>
        <w:tc>
          <w:tcPr>
            <w:tcW w:w="911"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0062</w:t>
            </w:r>
          </w:p>
        </w:tc>
        <w:tc>
          <w:tcPr>
            <w:tcW w:w="1757"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088.099.0062-6</w:t>
            </w:r>
          </w:p>
        </w:tc>
        <w:tc>
          <w:tcPr>
            <w:tcW w:w="221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R. Comendador Elias Zarzur, 870</w:t>
            </w:r>
          </w:p>
        </w:tc>
        <w:tc>
          <w:tcPr>
            <w:tcW w:w="225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Altura máxima = 10m</w:t>
            </w:r>
          </w:p>
        </w:tc>
        <w:tc>
          <w:tcPr>
            <w:tcW w:w="2164"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M 306.169</w:t>
            </w:r>
          </w:p>
        </w:tc>
      </w:tr>
      <w:tr>
        <w:trPr>
          <w:trHeight w:val="975" w:hRule="atLeast"/>
        </w:trPr>
        <w:tc>
          <w:tcPr>
            <w:tcW w:w="911"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0004</w:t>
            </w:r>
          </w:p>
        </w:tc>
        <w:tc>
          <w:tcPr>
            <w:tcW w:w="1757"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088.099.0004-9</w:t>
            </w:r>
          </w:p>
        </w:tc>
        <w:tc>
          <w:tcPr>
            <w:tcW w:w="221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R. Comendador Elias Zarzur, 884</w:t>
            </w:r>
          </w:p>
        </w:tc>
        <w:tc>
          <w:tcPr>
            <w:tcW w:w="225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Altura máxima = 10m</w:t>
            </w:r>
          </w:p>
        </w:tc>
        <w:tc>
          <w:tcPr>
            <w:tcW w:w="2164"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M 93.435</w:t>
            </w:r>
          </w:p>
        </w:tc>
      </w:tr>
      <w:tr>
        <w:trPr>
          <w:trHeight w:val="975" w:hRule="atLeast"/>
        </w:trPr>
        <w:tc>
          <w:tcPr>
            <w:tcW w:w="911"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0005</w:t>
            </w:r>
          </w:p>
        </w:tc>
        <w:tc>
          <w:tcPr>
            <w:tcW w:w="1757"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088.099.0005-7</w:t>
            </w:r>
          </w:p>
        </w:tc>
        <w:tc>
          <w:tcPr>
            <w:tcW w:w="221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R. Comendador Elias Zarzur, 890</w:t>
            </w:r>
          </w:p>
        </w:tc>
        <w:tc>
          <w:tcPr>
            <w:tcW w:w="225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Altura máxima = 10m</w:t>
            </w:r>
          </w:p>
        </w:tc>
        <w:tc>
          <w:tcPr>
            <w:tcW w:w="2164"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M 273.323</w:t>
            </w:r>
          </w:p>
        </w:tc>
      </w:tr>
      <w:tr>
        <w:trPr>
          <w:trHeight w:val="975" w:hRule="atLeast"/>
        </w:trPr>
        <w:tc>
          <w:tcPr>
            <w:tcW w:w="911"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0006</w:t>
            </w:r>
          </w:p>
        </w:tc>
        <w:tc>
          <w:tcPr>
            <w:tcW w:w="1757"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088.099.0006-5</w:t>
            </w:r>
          </w:p>
        </w:tc>
        <w:tc>
          <w:tcPr>
            <w:tcW w:w="221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R. Comendador Elias Zarzur, 898</w:t>
            </w:r>
          </w:p>
        </w:tc>
        <w:tc>
          <w:tcPr>
            <w:tcW w:w="225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Altura máxima = 10m</w:t>
            </w:r>
          </w:p>
        </w:tc>
        <w:tc>
          <w:tcPr>
            <w:tcW w:w="2164"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M 80.879</w:t>
            </w:r>
          </w:p>
        </w:tc>
      </w:tr>
      <w:tr>
        <w:trPr>
          <w:trHeight w:val="975" w:hRule="atLeast"/>
        </w:trPr>
        <w:tc>
          <w:tcPr>
            <w:tcW w:w="911"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0007</w:t>
            </w:r>
          </w:p>
        </w:tc>
        <w:tc>
          <w:tcPr>
            <w:tcW w:w="1757"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088.099.0007-3</w:t>
            </w:r>
          </w:p>
        </w:tc>
        <w:tc>
          <w:tcPr>
            <w:tcW w:w="221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R. Irmã Haydée Ribeiro, 2</w:t>
            </w:r>
          </w:p>
        </w:tc>
        <w:tc>
          <w:tcPr>
            <w:tcW w:w="225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Altura máxima = 10m</w:t>
            </w:r>
          </w:p>
        </w:tc>
        <w:tc>
          <w:tcPr>
            <w:tcW w:w="2164"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M 33.472</w:t>
            </w:r>
          </w:p>
        </w:tc>
      </w:tr>
      <w:tr>
        <w:trPr>
          <w:trHeight w:val="975" w:hRule="atLeast"/>
        </w:trPr>
        <w:tc>
          <w:tcPr>
            <w:tcW w:w="911"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0061</w:t>
            </w:r>
          </w:p>
        </w:tc>
        <w:tc>
          <w:tcPr>
            <w:tcW w:w="1757"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088.099.0061-8</w:t>
            </w:r>
          </w:p>
        </w:tc>
        <w:tc>
          <w:tcPr>
            <w:tcW w:w="221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R. Irmã Haydée Ribeiro, 4 (n.º 40 pelo mapa digital)</w:t>
            </w:r>
          </w:p>
        </w:tc>
        <w:tc>
          <w:tcPr>
            <w:tcW w:w="225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Altura máxima = 10m</w:t>
            </w:r>
          </w:p>
        </w:tc>
        <w:tc>
          <w:tcPr>
            <w:tcW w:w="2164"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M 115.584</w:t>
            </w:r>
          </w:p>
        </w:tc>
      </w:tr>
      <w:tr>
        <w:trPr>
          <w:trHeight w:val="975" w:hRule="atLeast"/>
        </w:trPr>
        <w:tc>
          <w:tcPr>
            <w:tcW w:w="911"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0056</w:t>
            </w:r>
          </w:p>
        </w:tc>
        <w:tc>
          <w:tcPr>
            <w:tcW w:w="1757"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088.099.0056-1</w:t>
            </w:r>
          </w:p>
        </w:tc>
        <w:tc>
          <w:tcPr>
            <w:tcW w:w="221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R. Irmã Haydée Ribeiro, 6 (n.º 890 pelo mapa digital)</w:t>
            </w:r>
          </w:p>
        </w:tc>
        <w:tc>
          <w:tcPr>
            <w:tcW w:w="225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Altura máxima = 10m</w:t>
            </w:r>
          </w:p>
        </w:tc>
        <w:tc>
          <w:tcPr>
            <w:tcW w:w="2164"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M 78.207</w:t>
            </w:r>
          </w:p>
        </w:tc>
      </w:tr>
      <w:tr>
        <w:trPr>
          <w:trHeight w:val="975" w:hRule="atLeast"/>
        </w:trPr>
        <w:tc>
          <w:tcPr>
            <w:tcW w:w="911"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0057</w:t>
            </w:r>
          </w:p>
        </w:tc>
        <w:tc>
          <w:tcPr>
            <w:tcW w:w="1757"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088.099.0057-1</w:t>
            </w:r>
          </w:p>
        </w:tc>
        <w:tc>
          <w:tcPr>
            <w:tcW w:w="221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R. Irmã Haydée Ribeiro, 8 (n.º 890 pelo mapa digital)</w:t>
            </w:r>
          </w:p>
        </w:tc>
        <w:tc>
          <w:tcPr>
            <w:tcW w:w="225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Altura máxima = 10m</w:t>
            </w:r>
          </w:p>
        </w:tc>
        <w:tc>
          <w:tcPr>
            <w:tcW w:w="2164"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M 27.280</w:t>
            </w:r>
          </w:p>
        </w:tc>
      </w:tr>
      <w:tr>
        <w:trPr>
          <w:trHeight w:val="975" w:hRule="atLeast"/>
        </w:trPr>
        <w:tc>
          <w:tcPr>
            <w:tcW w:w="911"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0011</w:t>
            </w:r>
          </w:p>
        </w:tc>
        <w:tc>
          <w:tcPr>
            <w:tcW w:w="1757"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088.099.0011-1</w:t>
            </w:r>
          </w:p>
        </w:tc>
        <w:tc>
          <w:tcPr>
            <w:tcW w:w="221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R. Irmã Haydée Ribeiro, 7</w:t>
            </w:r>
          </w:p>
        </w:tc>
        <w:tc>
          <w:tcPr>
            <w:tcW w:w="225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Altura máxima = 10m</w:t>
            </w:r>
          </w:p>
        </w:tc>
        <w:tc>
          <w:tcPr>
            <w:tcW w:w="2164"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M 6.326</w:t>
            </w:r>
          </w:p>
        </w:tc>
      </w:tr>
      <w:tr>
        <w:trPr>
          <w:trHeight w:val="975" w:hRule="atLeast"/>
        </w:trPr>
        <w:tc>
          <w:tcPr>
            <w:tcW w:w="911"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0012</w:t>
            </w:r>
          </w:p>
        </w:tc>
        <w:tc>
          <w:tcPr>
            <w:tcW w:w="1757"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088.099.0012-1</w:t>
            </w:r>
          </w:p>
        </w:tc>
        <w:tc>
          <w:tcPr>
            <w:tcW w:w="221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R. Irmã Haydée Ribeiro, 5</w:t>
            </w:r>
          </w:p>
        </w:tc>
        <w:tc>
          <w:tcPr>
            <w:tcW w:w="225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Altura máxima = 10m</w:t>
            </w:r>
          </w:p>
        </w:tc>
        <w:tc>
          <w:tcPr>
            <w:tcW w:w="2164"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M 134.392</w:t>
            </w:r>
          </w:p>
        </w:tc>
      </w:tr>
      <w:tr>
        <w:trPr>
          <w:trHeight w:val="975" w:hRule="atLeast"/>
        </w:trPr>
        <w:tc>
          <w:tcPr>
            <w:tcW w:w="911"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0013</w:t>
            </w:r>
          </w:p>
        </w:tc>
        <w:tc>
          <w:tcPr>
            <w:tcW w:w="1757"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088.099.0013-8</w:t>
            </w:r>
          </w:p>
        </w:tc>
        <w:tc>
          <w:tcPr>
            <w:tcW w:w="221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R. Irmã Haydée Ribeiro, 3</w:t>
            </w:r>
          </w:p>
        </w:tc>
        <w:tc>
          <w:tcPr>
            <w:tcW w:w="225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Altura máxima = 10m</w:t>
            </w:r>
          </w:p>
        </w:tc>
        <w:tc>
          <w:tcPr>
            <w:tcW w:w="2164"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M 266.144</w:t>
            </w:r>
          </w:p>
        </w:tc>
      </w:tr>
      <w:tr>
        <w:trPr>
          <w:trHeight w:val="975" w:hRule="atLeast"/>
        </w:trPr>
        <w:tc>
          <w:tcPr>
            <w:tcW w:w="911"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0014</w:t>
            </w:r>
          </w:p>
        </w:tc>
        <w:tc>
          <w:tcPr>
            <w:tcW w:w="1757"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088.099.0014-6</w:t>
            </w:r>
          </w:p>
        </w:tc>
        <w:tc>
          <w:tcPr>
            <w:tcW w:w="221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R. Irmã Haydée Ribeiro, 1</w:t>
            </w:r>
          </w:p>
        </w:tc>
        <w:tc>
          <w:tcPr>
            <w:tcW w:w="225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Altura máxima = 10m</w:t>
            </w:r>
          </w:p>
        </w:tc>
        <w:tc>
          <w:tcPr>
            <w:tcW w:w="2164"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M 32.211</w:t>
            </w:r>
          </w:p>
        </w:tc>
      </w:tr>
      <w:tr>
        <w:trPr>
          <w:trHeight w:val="975" w:hRule="atLeast"/>
        </w:trPr>
        <w:tc>
          <w:tcPr>
            <w:tcW w:w="911"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0015</w:t>
            </w:r>
          </w:p>
        </w:tc>
        <w:tc>
          <w:tcPr>
            <w:tcW w:w="1757"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088.099.0015-4</w:t>
            </w:r>
          </w:p>
        </w:tc>
        <w:tc>
          <w:tcPr>
            <w:tcW w:w="221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R. Comendador Elias Zarzur, 900</w:t>
            </w:r>
          </w:p>
        </w:tc>
        <w:tc>
          <w:tcPr>
            <w:tcW w:w="225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Altura máxima = 10m</w:t>
            </w:r>
          </w:p>
        </w:tc>
        <w:tc>
          <w:tcPr>
            <w:tcW w:w="2164"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M 214.200</w:t>
            </w:r>
          </w:p>
        </w:tc>
      </w:tr>
      <w:tr>
        <w:trPr>
          <w:trHeight w:val="975" w:hRule="atLeast"/>
        </w:trPr>
        <w:tc>
          <w:tcPr>
            <w:tcW w:w="911"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0016</w:t>
            </w:r>
          </w:p>
        </w:tc>
        <w:tc>
          <w:tcPr>
            <w:tcW w:w="1757"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088.099.0016-2</w:t>
            </w:r>
          </w:p>
        </w:tc>
        <w:tc>
          <w:tcPr>
            <w:tcW w:w="221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R. Comendador Elias Zarzur, 912</w:t>
            </w:r>
          </w:p>
        </w:tc>
        <w:tc>
          <w:tcPr>
            <w:tcW w:w="225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Altura máxima = 10m</w:t>
            </w:r>
          </w:p>
        </w:tc>
        <w:tc>
          <w:tcPr>
            <w:tcW w:w="2164"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M 413.386</w:t>
            </w:r>
          </w:p>
        </w:tc>
      </w:tr>
      <w:tr>
        <w:trPr>
          <w:trHeight w:val="975" w:hRule="atLeast"/>
        </w:trPr>
        <w:tc>
          <w:tcPr>
            <w:tcW w:w="911"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0017</w:t>
            </w:r>
          </w:p>
        </w:tc>
        <w:tc>
          <w:tcPr>
            <w:tcW w:w="1757"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088.099.0017-0</w:t>
            </w:r>
          </w:p>
        </w:tc>
        <w:tc>
          <w:tcPr>
            <w:tcW w:w="221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R. Comendador Elias Zarzur, 908 (n.º 918 pelo mapa digital)</w:t>
            </w:r>
          </w:p>
        </w:tc>
        <w:tc>
          <w:tcPr>
            <w:tcW w:w="225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Altura máxima = 10m</w:t>
            </w:r>
          </w:p>
        </w:tc>
        <w:tc>
          <w:tcPr>
            <w:tcW w:w="2164"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M 334.416</w:t>
            </w:r>
          </w:p>
        </w:tc>
      </w:tr>
      <w:tr>
        <w:trPr>
          <w:trHeight w:val="975" w:hRule="atLeast"/>
        </w:trPr>
        <w:tc>
          <w:tcPr>
            <w:tcW w:w="911"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0045</w:t>
            </w:r>
          </w:p>
        </w:tc>
        <w:tc>
          <w:tcPr>
            <w:tcW w:w="1757"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088.099.0045-6</w:t>
            </w:r>
          </w:p>
        </w:tc>
        <w:tc>
          <w:tcPr>
            <w:tcW w:w="221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R. Comendador Elias Zarzur, 930</w:t>
            </w:r>
          </w:p>
        </w:tc>
        <w:tc>
          <w:tcPr>
            <w:tcW w:w="225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Altura máxima = 10m</w:t>
            </w:r>
          </w:p>
        </w:tc>
        <w:tc>
          <w:tcPr>
            <w:tcW w:w="2164"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M 446.305</w:t>
            </w:r>
          </w:p>
        </w:tc>
      </w:tr>
      <w:tr>
        <w:trPr>
          <w:trHeight w:val="750" w:hRule="atLeast"/>
        </w:trPr>
        <w:tc>
          <w:tcPr>
            <w:tcW w:w="911"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0051</w:t>
            </w:r>
          </w:p>
        </w:tc>
        <w:tc>
          <w:tcPr>
            <w:tcW w:w="1757"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088.099.0051-0</w:t>
            </w:r>
          </w:p>
        </w:tc>
        <w:tc>
          <w:tcPr>
            <w:tcW w:w="221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R. Comendador Elias Zarzur, 954 (n.º 948 pelo mapa digital) - Condomínio Residencial Quadrifóglio – Casas 1 a 4</w:t>
            </w:r>
          </w:p>
        </w:tc>
        <w:tc>
          <w:tcPr>
            <w:tcW w:w="2252"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Altura máxima = 10m</w:t>
            </w:r>
          </w:p>
        </w:tc>
        <w:tc>
          <w:tcPr>
            <w:tcW w:w="2164" w:type="dxa"/>
            <w:tcBorders>
              <w:top w:val="double" w:sz="6" w:space="0" w:color="000000"/>
              <w:left w:val="double" w:sz="6" w:space="0" w:color="000000"/>
              <w:bottom w:val="double" w:sz="6" w:space="0" w:color="000000"/>
              <w:right w:val="double" w:sz="6" w:space="0" w:color="000000"/>
            </w:tcBorders>
            <w:vAlign w:val="center"/>
          </w:tcPr>
          <w:p>
            <w:pPr>
              <w:pStyle w:val="Normal"/>
              <w:widowControl w:val="false"/>
              <w:spacing w:lineRule="auto" w:line="240" w:before="0" w:after="0"/>
              <w:jc w:val="center"/>
              <w:rPr>
                <w:rFonts w:ascii="Calibri" w:hAnsi="Calibri" w:cs="Calibri"/>
                <w:sz w:val="22"/>
                <w:szCs w:val="22"/>
              </w:rPr>
            </w:pPr>
            <w:r>
              <w:rPr>
                <w:rFonts w:eastAsia="Calibri" w:cs="Calibri" w:ascii="Calibri" w:hAnsi="Calibri"/>
                <w:kern w:val="0"/>
                <w:sz w:val="22"/>
                <w:szCs w:val="22"/>
                <w:lang w:val="pt-BR" w:eastAsia="en-US" w:bidi="ar-SA"/>
              </w:rPr>
              <w:t>M 415.687 a 415.690</w:t>
            </w:r>
          </w:p>
        </w:tc>
      </w:tr>
    </w:tbl>
    <w:p>
      <w:pPr>
        <w:pStyle w:val="Normal"/>
        <w:spacing w:lineRule="auto" w:line="240" w:beforeAutospacing="1" w:after="0"/>
        <w:jc w:val="both"/>
        <w:rPr>
          <w:rFonts w:ascii="Calibri" w:hAnsi="Calibri"/>
          <w:sz w:val="22"/>
          <w:szCs w:val="22"/>
        </w:rPr>
      </w:pPr>
      <w:r>
        <w:rPr>
          <w:rFonts w:ascii="Calibri" w:hAnsi="Calibri"/>
          <w:sz w:val="22"/>
          <w:szCs w:val="22"/>
        </w:rPr>
      </w:r>
    </w:p>
    <w:p>
      <w:pPr>
        <w:pStyle w:val="Normal"/>
        <w:spacing w:lineRule="auto" w:line="240" w:beforeAutospacing="1" w:after="0"/>
        <w:jc w:val="both"/>
        <w:rPr>
          <w:rFonts w:ascii="Calibri" w:hAnsi="Calibri"/>
          <w:sz w:val="22"/>
          <w:szCs w:val="22"/>
        </w:rPr>
      </w:pPr>
      <w:r>
        <w:rPr>
          <w:rFonts w:eastAsia="Times New Roman" w:cs="Times New Roman" w:ascii="Calibri" w:hAnsi="Calibri"/>
          <w:color w:val="000000"/>
          <w:sz w:val="22"/>
          <w:szCs w:val="22"/>
          <w:lang w:eastAsia="pt-BR"/>
        </w:rPr>
        <w:t xml:space="preserve">II. </w:t>
      </w:r>
      <w:r>
        <w:rPr>
          <w:rFonts w:eastAsia="Times New Roman" w:cs="Times New Roman" w:ascii="Calibri" w:hAnsi="Calibri"/>
          <w:b/>
          <w:bCs/>
          <w:color w:val="000000"/>
          <w:sz w:val="22"/>
          <w:szCs w:val="22"/>
          <w:lang w:eastAsia="pt-BR"/>
        </w:rPr>
        <w:t>Casa Dino Zammataro</w:t>
      </w:r>
      <w:r>
        <w:rPr>
          <w:rFonts w:eastAsia="Times New Roman" w:cs="Times New Roman" w:ascii="Calibri" w:hAnsi="Calibri"/>
          <w:color w:val="000000"/>
          <w:sz w:val="22"/>
          <w:szCs w:val="22"/>
          <w:lang w:eastAsia="pt-BR"/>
        </w:rPr>
        <w:t>: as áreas envoltórias serão constituídas pelos lotes discriminados na tabela que segue, para os quais fica definida altura máxima de 10 metros para futuras construções, com exceção do lote de SQL 200.017.0002-0 para o qual fica estabelecido um recuo lateral direito de 3,0 metros e do lote de SQL 200.017.0004-7 para o qual fica estabelecido um recuo lateral esquerdo de 3,0 metros, ambos com altura máxima de 10,0 metros para futuras construções.</w:t>
      </w:r>
    </w:p>
    <w:p>
      <w:pPr>
        <w:pStyle w:val="Normal"/>
        <w:spacing w:lineRule="auto" w:line="240" w:beforeAutospacing="1" w:after="0"/>
        <w:jc w:val="both"/>
        <w:rPr>
          <w:rFonts w:ascii="Calibri" w:hAnsi="Calibri"/>
          <w:sz w:val="22"/>
          <w:szCs w:val="22"/>
        </w:rPr>
      </w:pPr>
      <w:r>
        <w:rPr>
          <w:rFonts w:ascii="Calibri" w:hAnsi="Calibri"/>
          <w:sz w:val="22"/>
          <w:szCs w:val="22"/>
        </w:rPr>
      </w:r>
    </w:p>
    <w:tbl>
      <w:tblPr>
        <w:tblW w:w="9300" w:type="dxa"/>
        <w:jc w:val="left"/>
        <w:tblInd w:w="50" w:type="dxa"/>
        <w:tblLayout w:type="fixed"/>
        <w:tblCellMar>
          <w:top w:w="40" w:type="dxa"/>
          <w:left w:w="40" w:type="dxa"/>
          <w:bottom w:w="40" w:type="dxa"/>
          <w:right w:w="40" w:type="dxa"/>
        </w:tblCellMar>
        <w:tblLook w:val="0600"/>
      </w:tblPr>
      <w:tblGrid>
        <w:gridCol w:w="912"/>
        <w:gridCol w:w="1752"/>
        <w:gridCol w:w="2265"/>
        <w:gridCol w:w="2271"/>
        <w:gridCol w:w="2100"/>
      </w:tblGrid>
      <w:tr>
        <w:trPr>
          <w:trHeight w:val="373" w:hRule="atLeast"/>
        </w:trPr>
        <w:tc>
          <w:tcPr>
            <w:tcW w:w="9300" w:type="dxa"/>
            <w:gridSpan w:val="5"/>
            <w:tcBorders>
              <w:top w:val="double" w:sz="6" w:space="0" w:color="000000"/>
              <w:left w:val="double" w:sz="6" w:space="0" w:color="000000"/>
              <w:bottom w:val="double" w:sz="6" w:space="0" w:color="000000"/>
              <w:right w:val="double" w:sz="6" w:space="0" w:color="000000"/>
            </w:tcBorders>
            <w:vAlign w:val="bottom"/>
          </w:tcPr>
          <w:p>
            <w:pPr>
              <w:pStyle w:val="Normal"/>
              <w:widowControl w:val="false"/>
              <w:spacing w:before="0" w:after="0"/>
              <w:jc w:val="center"/>
              <w:rPr>
                <w:rFonts w:ascii="Calibri" w:hAnsi="Calibri" w:cs="Calibri"/>
                <w:sz w:val="22"/>
                <w:szCs w:val="22"/>
              </w:rPr>
            </w:pPr>
            <w:r>
              <w:rPr>
                <w:rFonts w:cs="Calibri" w:ascii="Calibri" w:hAnsi="Calibri"/>
                <w:b/>
                <w:sz w:val="22"/>
                <w:szCs w:val="22"/>
              </w:rPr>
              <w:t>Lotes da área envoltória – Casa Dino Zammataro</w:t>
            </w:r>
          </w:p>
        </w:tc>
      </w:tr>
      <w:tr>
        <w:trPr>
          <w:trHeight w:val="1585" w:hRule="atLeast"/>
        </w:trPr>
        <w:tc>
          <w:tcPr>
            <w:tcW w:w="91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before="0" w:after="0"/>
              <w:jc w:val="center"/>
              <w:rPr>
                <w:rFonts w:ascii="Calibri" w:hAnsi="Calibri" w:cs="Calibri"/>
                <w:sz w:val="22"/>
                <w:szCs w:val="22"/>
              </w:rPr>
            </w:pPr>
            <w:r>
              <w:rPr>
                <w:rFonts w:cs="Calibri" w:ascii="Calibri" w:hAnsi="Calibri"/>
                <w:b/>
                <w:sz w:val="22"/>
                <w:szCs w:val="22"/>
              </w:rPr>
              <w:t>Lotes</w:t>
            </w:r>
          </w:p>
        </w:tc>
        <w:tc>
          <w:tcPr>
            <w:tcW w:w="175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before="0" w:after="0"/>
              <w:jc w:val="center"/>
              <w:rPr>
                <w:rFonts w:ascii="Calibri" w:hAnsi="Calibri" w:cs="Calibri"/>
                <w:sz w:val="22"/>
                <w:szCs w:val="22"/>
              </w:rPr>
            </w:pPr>
            <w:r>
              <w:rPr>
                <w:rFonts w:cs="Calibri" w:ascii="Calibri" w:hAnsi="Calibri"/>
                <w:b/>
                <w:sz w:val="22"/>
                <w:szCs w:val="22"/>
              </w:rPr>
              <w:t>SQL</w:t>
            </w:r>
          </w:p>
        </w:tc>
        <w:tc>
          <w:tcPr>
            <w:tcW w:w="2265"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before="0" w:after="0"/>
              <w:jc w:val="center"/>
              <w:rPr>
                <w:rFonts w:ascii="Calibri" w:hAnsi="Calibri" w:cs="Calibri"/>
                <w:sz w:val="22"/>
                <w:szCs w:val="22"/>
              </w:rPr>
            </w:pPr>
            <w:r>
              <w:rPr>
                <w:rFonts w:cs="Calibri" w:ascii="Calibri" w:hAnsi="Calibri"/>
                <w:b/>
                <w:sz w:val="22"/>
                <w:szCs w:val="22"/>
              </w:rPr>
              <w:t>Endereço</w:t>
            </w:r>
          </w:p>
        </w:tc>
        <w:tc>
          <w:tcPr>
            <w:tcW w:w="2271"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before="0" w:after="0"/>
              <w:jc w:val="center"/>
              <w:rPr>
                <w:rFonts w:ascii="Calibri" w:hAnsi="Calibri" w:cs="Calibri"/>
                <w:sz w:val="22"/>
                <w:szCs w:val="22"/>
              </w:rPr>
            </w:pPr>
            <w:r>
              <w:rPr>
                <w:rFonts w:cs="Calibri" w:ascii="Calibri" w:hAnsi="Calibri"/>
                <w:b/>
                <w:sz w:val="22"/>
                <w:szCs w:val="22"/>
              </w:rPr>
              <w:t>Diretriz de ocupação</w:t>
            </w:r>
          </w:p>
        </w:tc>
        <w:tc>
          <w:tcPr>
            <w:tcW w:w="2100"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before="0" w:after="0"/>
              <w:jc w:val="center"/>
              <w:rPr>
                <w:rFonts w:ascii="Calibri" w:hAnsi="Calibri" w:cs="Calibri"/>
                <w:sz w:val="22"/>
                <w:szCs w:val="22"/>
              </w:rPr>
            </w:pPr>
            <w:r>
              <w:rPr>
                <w:rFonts w:cs="Calibri" w:ascii="Calibri" w:hAnsi="Calibri"/>
                <w:b/>
                <w:sz w:val="22"/>
                <w:szCs w:val="22"/>
              </w:rPr>
              <w:t>18º Cartório de Registro de Imóveis Matrículas-M ou Transcrições-T</w:t>
            </w:r>
          </w:p>
        </w:tc>
      </w:tr>
      <w:tr>
        <w:trPr>
          <w:trHeight w:val="750" w:hRule="atLeast"/>
        </w:trPr>
        <w:tc>
          <w:tcPr>
            <w:tcW w:w="91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cs="Calibri"/>
                <w:iCs/>
                <w:sz w:val="22"/>
                <w:szCs w:val="22"/>
              </w:rPr>
            </w:pPr>
            <w:r>
              <w:rPr>
                <w:rFonts w:eastAsia="Calibri" w:cs="Calibri" w:ascii="Calibri" w:hAnsi="Calibri"/>
                <w:iCs/>
                <w:sz w:val="22"/>
                <w:szCs w:val="22"/>
              </w:rPr>
              <w:t>0015</w:t>
            </w:r>
          </w:p>
        </w:tc>
        <w:tc>
          <w:tcPr>
            <w:tcW w:w="175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200.017.0015-2</w:t>
            </w:r>
          </w:p>
        </w:tc>
        <w:tc>
          <w:tcPr>
            <w:tcW w:w="2265"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Av. Valentim Gentil, 275 (n.º 779 pela matrícula-averbação n.º 2)</w:t>
            </w:r>
          </w:p>
        </w:tc>
        <w:tc>
          <w:tcPr>
            <w:tcW w:w="2271"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Altura máxima = 10m</w:t>
            </w:r>
          </w:p>
        </w:tc>
        <w:tc>
          <w:tcPr>
            <w:tcW w:w="2100"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jc w:val="center"/>
              <w:rPr>
                <w:rFonts w:ascii="Calibri" w:hAnsi="Calibri" w:cs="Calibri"/>
                <w:sz w:val="22"/>
                <w:szCs w:val="22"/>
              </w:rPr>
            </w:pPr>
            <w:r>
              <w:rPr>
                <w:rFonts w:cs="Calibri" w:ascii="Calibri" w:hAnsi="Calibri"/>
                <w:sz w:val="22"/>
                <w:szCs w:val="22"/>
              </w:rPr>
              <w:t>78.119 - 18º CRI</w:t>
            </w:r>
          </w:p>
        </w:tc>
      </w:tr>
      <w:tr>
        <w:trPr>
          <w:trHeight w:val="868" w:hRule="atLeast"/>
        </w:trPr>
        <w:tc>
          <w:tcPr>
            <w:tcW w:w="91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0014</w:t>
            </w:r>
          </w:p>
        </w:tc>
        <w:tc>
          <w:tcPr>
            <w:tcW w:w="175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200.017.0014-4</w:t>
            </w:r>
          </w:p>
        </w:tc>
        <w:tc>
          <w:tcPr>
            <w:tcW w:w="2265"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Av. Valentim Gentil, 267 (n.º 380 pela matrícula)</w:t>
            </w:r>
          </w:p>
        </w:tc>
        <w:tc>
          <w:tcPr>
            <w:tcW w:w="2271"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Altura máxima = 10m</w:t>
            </w:r>
          </w:p>
        </w:tc>
        <w:tc>
          <w:tcPr>
            <w:tcW w:w="2100"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jc w:val="center"/>
              <w:rPr>
                <w:rFonts w:ascii="Calibri" w:hAnsi="Calibri" w:cs="Calibri"/>
                <w:sz w:val="22"/>
                <w:szCs w:val="22"/>
              </w:rPr>
            </w:pPr>
            <w:r>
              <w:rPr>
                <w:rFonts w:cs="Calibri" w:ascii="Calibri" w:hAnsi="Calibri"/>
                <w:sz w:val="22"/>
                <w:szCs w:val="22"/>
              </w:rPr>
              <w:t>5.561</w:t>
            </w:r>
          </w:p>
        </w:tc>
      </w:tr>
      <w:tr>
        <w:trPr>
          <w:trHeight w:val="920" w:hRule="atLeast"/>
        </w:trPr>
        <w:tc>
          <w:tcPr>
            <w:tcW w:w="91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0013</w:t>
            </w:r>
          </w:p>
        </w:tc>
        <w:tc>
          <w:tcPr>
            <w:tcW w:w="175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200.017.0013-6</w:t>
            </w:r>
          </w:p>
        </w:tc>
        <w:tc>
          <w:tcPr>
            <w:tcW w:w="2265"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R. Eng. Teixeira Soares, 67</w:t>
            </w:r>
          </w:p>
        </w:tc>
        <w:tc>
          <w:tcPr>
            <w:tcW w:w="2271"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Altura máxima = 10m</w:t>
            </w:r>
          </w:p>
        </w:tc>
        <w:tc>
          <w:tcPr>
            <w:tcW w:w="2100"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jc w:val="center"/>
              <w:rPr>
                <w:rFonts w:ascii="Calibri" w:hAnsi="Calibri" w:cs="Calibri"/>
                <w:sz w:val="22"/>
                <w:szCs w:val="22"/>
              </w:rPr>
            </w:pPr>
            <w:r>
              <w:rPr>
                <w:rFonts w:cs="Calibri" w:ascii="Calibri" w:hAnsi="Calibri"/>
                <w:sz w:val="22"/>
                <w:szCs w:val="22"/>
              </w:rPr>
              <w:t>60.271</w:t>
            </w:r>
          </w:p>
        </w:tc>
      </w:tr>
      <w:tr>
        <w:trPr>
          <w:trHeight w:val="975" w:hRule="atLeast"/>
        </w:trPr>
        <w:tc>
          <w:tcPr>
            <w:tcW w:w="91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0012</w:t>
            </w:r>
          </w:p>
        </w:tc>
        <w:tc>
          <w:tcPr>
            <w:tcW w:w="175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200.017.0012-8</w:t>
            </w:r>
          </w:p>
        </w:tc>
        <w:tc>
          <w:tcPr>
            <w:tcW w:w="2265"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R. Eng. Teixeira Soares, 57</w:t>
            </w:r>
          </w:p>
        </w:tc>
        <w:tc>
          <w:tcPr>
            <w:tcW w:w="2271"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Altura máxima = 10m</w:t>
            </w:r>
          </w:p>
        </w:tc>
        <w:tc>
          <w:tcPr>
            <w:tcW w:w="2100"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jc w:val="center"/>
              <w:rPr>
                <w:rFonts w:ascii="Calibri" w:hAnsi="Calibri" w:cs="Calibri"/>
                <w:sz w:val="22"/>
                <w:szCs w:val="22"/>
              </w:rPr>
            </w:pPr>
            <w:r>
              <w:rPr>
                <w:rFonts w:cs="Calibri" w:ascii="Calibri" w:hAnsi="Calibri"/>
                <w:sz w:val="22"/>
                <w:szCs w:val="22"/>
              </w:rPr>
              <w:t>8.145</w:t>
            </w:r>
          </w:p>
        </w:tc>
      </w:tr>
      <w:tr>
        <w:trPr>
          <w:trHeight w:val="750" w:hRule="atLeast"/>
        </w:trPr>
        <w:tc>
          <w:tcPr>
            <w:tcW w:w="91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cs="Calibri"/>
                <w:iCs/>
                <w:sz w:val="22"/>
                <w:szCs w:val="22"/>
              </w:rPr>
            </w:pPr>
            <w:r>
              <w:rPr>
                <w:rFonts w:eastAsia="Calibri" w:cs="Calibri" w:ascii="Calibri" w:hAnsi="Calibri"/>
                <w:iCs/>
                <w:sz w:val="22"/>
                <w:szCs w:val="22"/>
              </w:rPr>
              <w:t>0011</w:t>
            </w:r>
          </w:p>
        </w:tc>
        <w:tc>
          <w:tcPr>
            <w:tcW w:w="175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cs="Calibri"/>
                <w:iCs/>
                <w:sz w:val="22"/>
                <w:szCs w:val="22"/>
              </w:rPr>
            </w:pPr>
            <w:r>
              <w:rPr>
                <w:rFonts w:eastAsia="Calibri" w:cs="Calibri" w:ascii="Calibri" w:hAnsi="Calibri"/>
                <w:iCs/>
                <w:sz w:val="22"/>
                <w:szCs w:val="22"/>
              </w:rPr>
              <w:t>200.017.0011-1</w:t>
            </w:r>
          </w:p>
        </w:tc>
        <w:tc>
          <w:tcPr>
            <w:tcW w:w="2265"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cs="Calibri"/>
                <w:iCs/>
                <w:sz w:val="22"/>
                <w:szCs w:val="22"/>
              </w:rPr>
            </w:pPr>
            <w:r>
              <w:rPr>
                <w:rFonts w:eastAsia="Calibri" w:cs="Calibri" w:ascii="Calibri" w:hAnsi="Calibri"/>
                <w:iCs/>
                <w:sz w:val="22"/>
                <w:szCs w:val="22"/>
              </w:rPr>
              <w:t>R. Eng. Teixeira Soares, 41</w:t>
            </w:r>
          </w:p>
        </w:tc>
        <w:tc>
          <w:tcPr>
            <w:tcW w:w="2271"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cs="Calibri"/>
                <w:iCs/>
                <w:sz w:val="22"/>
                <w:szCs w:val="22"/>
              </w:rPr>
            </w:pPr>
            <w:r>
              <w:rPr>
                <w:rFonts w:eastAsia="Calibri" w:cs="Calibri" w:ascii="Calibri" w:hAnsi="Calibri"/>
                <w:iCs/>
                <w:sz w:val="22"/>
                <w:szCs w:val="22"/>
              </w:rPr>
              <w:t>Altura máxima = 10m</w:t>
            </w:r>
          </w:p>
        </w:tc>
        <w:tc>
          <w:tcPr>
            <w:tcW w:w="2100"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before="0" w:after="0"/>
              <w:jc w:val="center"/>
              <w:rPr>
                <w:rFonts w:ascii="Calibri" w:hAnsi="Calibri" w:cs="Calibri"/>
                <w:sz w:val="22"/>
                <w:szCs w:val="22"/>
              </w:rPr>
            </w:pPr>
            <w:r>
              <w:rPr>
                <w:rFonts w:cs="Calibri" w:ascii="Calibri" w:hAnsi="Calibri"/>
                <w:sz w:val="22"/>
                <w:szCs w:val="22"/>
              </w:rPr>
              <w:t>Transcrição n.º 66.150 do 22/08/1966 do 10º CRI</w:t>
            </w:r>
          </w:p>
        </w:tc>
      </w:tr>
      <w:tr>
        <w:trPr>
          <w:trHeight w:val="975" w:hRule="atLeast"/>
        </w:trPr>
        <w:tc>
          <w:tcPr>
            <w:tcW w:w="91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cs="Calibri"/>
                <w:iCs/>
                <w:sz w:val="22"/>
                <w:szCs w:val="22"/>
              </w:rPr>
            </w:pPr>
            <w:r>
              <w:rPr>
                <w:rFonts w:eastAsia="Calibri" w:cs="Calibri" w:ascii="Calibri" w:hAnsi="Calibri"/>
                <w:iCs/>
                <w:sz w:val="22"/>
                <w:szCs w:val="22"/>
              </w:rPr>
              <w:t>0010</w:t>
            </w:r>
          </w:p>
        </w:tc>
        <w:tc>
          <w:tcPr>
            <w:tcW w:w="175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200.017.0010-1</w:t>
            </w:r>
          </w:p>
        </w:tc>
        <w:tc>
          <w:tcPr>
            <w:tcW w:w="2265"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R. Eng. Teixeira Soares, 27</w:t>
            </w:r>
          </w:p>
        </w:tc>
        <w:tc>
          <w:tcPr>
            <w:tcW w:w="2271"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Altura máxima = 10m</w:t>
            </w:r>
          </w:p>
        </w:tc>
        <w:tc>
          <w:tcPr>
            <w:tcW w:w="2100"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jc w:val="center"/>
              <w:rPr>
                <w:rFonts w:ascii="Calibri" w:hAnsi="Calibri" w:cs="Calibri"/>
                <w:sz w:val="22"/>
                <w:szCs w:val="22"/>
              </w:rPr>
            </w:pPr>
            <w:r>
              <w:rPr>
                <w:rFonts w:cs="Calibri" w:ascii="Calibri" w:hAnsi="Calibri"/>
                <w:sz w:val="22"/>
                <w:szCs w:val="22"/>
              </w:rPr>
              <w:t>18.018</w:t>
            </w:r>
          </w:p>
        </w:tc>
      </w:tr>
      <w:tr>
        <w:trPr>
          <w:trHeight w:val="975" w:hRule="atLeast"/>
        </w:trPr>
        <w:tc>
          <w:tcPr>
            <w:tcW w:w="91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0006</w:t>
            </w:r>
          </w:p>
        </w:tc>
        <w:tc>
          <w:tcPr>
            <w:tcW w:w="175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200.017.0006-3</w:t>
            </w:r>
          </w:p>
        </w:tc>
        <w:tc>
          <w:tcPr>
            <w:tcW w:w="2265"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R. Prof. Hilário Magro Junior, 30</w:t>
            </w:r>
          </w:p>
        </w:tc>
        <w:tc>
          <w:tcPr>
            <w:tcW w:w="2271"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Altura máxima = 10m</w:t>
            </w:r>
          </w:p>
        </w:tc>
        <w:tc>
          <w:tcPr>
            <w:tcW w:w="2100"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jc w:val="center"/>
              <w:rPr>
                <w:rFonts w:ascii="Calibri" w:hAnsi="Calibri" w:cs="Calibri"/>
                <w:sz w:val="22"/>
                <w:szCs w:val="22"/>
              </w:rPr>
            </w:pPr>
            <w:r>
              <w:rPr>
                <w:rFonts w:cs="Calibri" w:ascii="Calibri" w:hAnsi="Calibri"/>
                <w:sz w:val="22"/>
                <w:szCs w:val="22"/>
              </w:rPr>
              <w:t>163.263</w:t>
            </w:r>
          </w:p>
        </w:tc>
      </w:tr>
      <w:tr>
        <w:trPr>
          <w:trHeight w:val="975" w:hRule="atLeast"/>
        </w:trPr>
        <w:tc>
          <w:tcPr>
            <w:tcW w:w="91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0005</w:t>
            </w:r>
          </w:p>
        </w:tc>
        <w:tc>
          <w:tcPr>
            <w:tcW w:w="175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200.017.0005-5</w:t>
            </w:r>
          </w:p>
        </w:tc>
        <w:tc>
          <w:tcPr>
            <w:tcW w:w="2265"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R. Prof. Hilário Magro Junior, 44</w:t>
            </w:r>
          </w:p>
        </w:tc>
        <w:tc>
          <w:tcPr>
            <w:tcW w:w="2271"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bookmarkStart w:id="0" w:name="RANGE!D9"/>
            <w:r>
              <w:rPr>
                <w:rFonts w:eastAsia="Calibri" w:cs="Calibri" w:ascii="Calibri" w:hAnsi="Calibri"/>
                <w:iCs/>
                <w:sz w:val="22"/>
                <w:szCs w:val="22"/>
              </w:rPr>
              <w:t>Altura máxima = 10m</w:t>
            </w:r>
            <w:bookmarkEnd w:id="0"/>
          </w:p>
        </w:tc>
        <w:tc>
          <w:tcPr>
            <w:tcW w:w="2100"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jc w:val="center"/>
              <w:rPr>
                <w:rFonts w:ascii="Calibri" w:hAnsi="Calibri" w:cs="Calibri"/>
                <w:sz w:val="22"/>
                <w:szCs w:val="22"/>
              </w:rPr>
            </w:pPr>
            <w:r>
              <w:rPr>
                <w:rFonts w:cs="Calibri" w:ascii="Calibri" w:hAnsi="Calibri"/>
                <w:sz w:val="22"/>
                <w:szCs w:val="22"/>
              </w:rPr>
              <w:t>181.122</w:t>
            </w:r>
          </w:p>
        </w:tc>
      </w:tr>
      <w:tr>
        <w:trPr>
          <w:trHeight w:val="1200" w:hRule="atLeast"/>
        </w:trPr>
        <w:tc>
          <w:tcPr>
            <w:tcW w:w="91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cs="Calibri"/>
                <w:iCs/>
                <w:sz w:val="22"/>
                <w:szCs w:val="22"/>
              </w:rPr>
            </w:pPr>
            <w:r>
              <w:rPr>
                <w:rFonts w:eastAsia="Calibri" w:cs="Calibri" w:ascii="Calibri" w:hAnsi="Calibri"/>
                <w:iCs/>
                <w:sz w:val="22"/>
                <w:szCs w:val="22"/>
              </w:rPr>
              <w:t>0004</w:t>
            </w:r>
          </w:p>
        </w:tc>
        <w:tc>
          <w:tcPr>
            <w:tcW w:w="175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cs="Calibri"/>
                <w:iCs/>
                <w:sz w:val="22"/>
                <w:szCs w:val="22"/>
              </w:rPr>
            </w:pPr>
            <w:r>
              <w:rPr>
                <w:rFonts w:eastAsia="Calibri" w:cs="Calibri" w:ascii="Calibri" w:hAnsi="Calibri"/>
                <w:iCs/>
                <w:sz w:val="22"/>
                <w:szCs w:val="22"/>
              </w:rPr>
              <w:t>200.017.0004-7</w:t>
            </w:r>
          </w:p>
        </w:tc>
        <w:tc>
          <w:tcPr>
            <w:tcW w:w="2265"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cs="Calibri"/>
                <w:iCs/>
                <w:sz w:val="22"/>
                <w:szCs w:val="22"/>
              </w:rPr>
            </w:pPr>
            <w:r>
              <w:rPr>
                <w:rFonts w:eastAsia="Calibri" w:cs="Calibri" w:ascii="Calibri" w:hAnsi="Calibri"/>
                <w:iCs/>
                <w:sz w:val="22"/>
                <w:szCs w:val="22"/>
              </w:rPr>
              <w:t>R. Prof. Hilário Magro Junior, 48</w:t>
            </w:r>
          </w:p>
        </w:tc>
        <w:tc>
          <w:tcPr>
            <w:tcW w:w="2271"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cs="Calibri"/>
                <w:iCs/>
                <w:sz w:val="22"/>
                <w:szCs w:val="22"/>
              </w:rPr>
            </w:pPr>
            <w:r>
              <w:rPr>
                <w:rFonts w:eastAsia="Calibri" w:cs="Calibri" w:ascii="Calibri" w:hAnsi="Calibri"/>
                <w:iCs/>
                <w:sz w:val="22"/>
                <w:szCs w:val="22"/>
              </w:rPr>
              <w:t>Altura máxima = 10m</w:t>
            </w:r>
          </w:p>
          <w:p>
            <w:pPr>
              <w:pStyle w:val="Normal"/>
              <w:widowControl w:val="false"/>
              <w:spacing w:lineRule="auto" w:line="240" w:before="0" w:after="0"/>
              <w:jc w:val="center"/>
              <w:rPr>
                <w:rFonts w:ascii="Calibri" w:hAnsi="Calibri" w:cs="Calibri"/>
                <w:iCs/>
                <w:sz w:val="22"/>
                <w:szCs w:val="22"/>
              </w:rPr>
            </w:pPr>
            <w:r>
              <w:rPr>
                <w:rFonts w:eastAsia="Calibri" w:cs="Calibri" w:ascii="Calibri" w:hAnsi="Calibri"/>
                <w:iCs/>
                <w:sz w:val="22"/>
                <w:szCs w:val="22"/>
              </w:rPr>
              <w:t>Recuo lateral obrigatório de 3m contíguo ao lote tombado</w:t>
            </w:r>
          </w:p>
        </w:tc>
        <w:tc>
          <w:tcPr>
            <w:tcW w:w="2100"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before="0" w:after="0"/>
              <w:jc w:val="center"/>
              <w:rPr>
                <w:rFonts w:ascii="Calibri" w:hAnsi="Calibri" w:cs="Calibri"/>
                <w:sz w:val="22"/>
                <w:szCs w:val="22"/>
              </w:rPr>
            </w:pPr>
            <w:r>
              <w:rPr>
                <w:rFonts w:cs="Calibri" w:ascii="Calibri" w:hAnsi="Calibri"/>
                <w:sz w:val="22"/>
                <w:szCs w:val="22"/>
              </w:rPr>
              <w:t>151.870</w:t>
            </w:r>
          </w:p>
        </w:tc>
      </w:tr>
      <w:tr>
        <w:trPr>
          <w:trHeight w:val="1200" w:hRule="atLeast"/>
        </w:trPr>
        <w:tc>
          <w:tcPr>
            <w:tcW w:w="91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cs="Calibri"/>
                <w:iCs/>
                <w:sz w:val="22"/>
                <w:szCs w:val="22"/>
              </w:rPr>
            </w:pPr>
            <w:r>
              <w:rPr>
                <w:rFonts w:eastAsia="Calibri" w:cs="Calibri" w:ascii="Calibri" w:hAnsi="Calibri"/>
                <w:iCs/>
                <w:sz w:val="22"/>
                <w:szCs w:val="22"/>
              </w:rPr>
              <w:t>0002</w:t>
            </w:r>
          </w:p>
        </w:tc>
        <w:tc>
          <w:tcPr>
            <w:tcW w:w="175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200.017.0002-0</w:t>
            </w:r>
          </w:p>
        </w:tc>
        <w:tc>
          <w:tcPr>
            <w:tcW w:w="2265"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R. Prof. Hilário Magro Junior, 82 (antigo n.º 150)</w:t>
            </w:r>
          </w:p>
        </w:tc>
        <w:tc>
          <w:tcPr>
            <w:tcW w:w="2271"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cs="Calibri"/>
                <w:iCs/>
                <w:sz w:val="22"/>
                <w:szCs w:val="22"/>
              </w:rPr>
            </w:pPr>
            <w:r>
              <w:rPr>
                <w:rFonts w:eastAsia="Calibri" w:cs="Calibri" w:ascii="Calibri" w:hAnsi="Calibri"/>
                <w:iCs/>
                <w:sz w:val="22"/>
                <w:szCs w:val="22"/>
              </w:rPr>
              <w:t>Altura máxima = 10m</w:t>
            </w:r>
          </w:p>
          <w:p>
            <w:pPr>
              <w:pStyle w:val="Normal"/>
              <w:widowControl w:val="false"/>
              <w:spacing w:lineRule="auto" w:line="240" w:before="0" w:after="0"/>
              <w:jc w:val="center"/>
              <w:rPr>
                <w:rFonts w:ascii="Calibri" w:hAnsi="Calibri" w:cs="Calibri"/>
                <w:iCs/>
                <w:sz w:val="22"/>
                <w:szCs w:val="22"/>
              </w:rPr>
            </w:pPr>
            <w:r>
              <w:rPr>
                <w:rFonts w:eastAsia="Calibri" w:cs="Calibri" w:ascii="Calibri" w:hAnsi="Calibri"/>
                <w:iCs/>
                <w:sz w:val="22"/>
                <w:szCs w:val="22"/>
              </w:rPr>
              <w:t>Recuo lateral obrigatório de 3m contíguo ao lote tombado</w:t>
            </w:r>
          </w:p>
        </w:tc>
        <w:tc>
          <w:tcPr>
            <w:tcW w:w="2100"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jc w:val="center"/>
              <w:rPr>
                <w:rFonts w:ascii="Calibri" w:hAnsi="Calibri" w:cs="Calibri"/>
                <w:sz w:val="22"/>
                <w:szCs w:val="22"/>
              </w:rPr>
            </w:pPr>
            <w:r>
              <w:rPr>
                <w:rFonts w:cs="Calibri" w:ascii="Calibri" w:hAnsi="Calibri"/>
                <w:sz w:val="22"/>
                <w:szCs w:val="22"/>
              </w:rPr>
              <w:t>170.550</w:t>
            </w:r>
          </w:p>
        </w:tc>
      </w:tr>
      <w:tr>
        <w:trPr>
          <w:trHeight w:val="505" w:hRule="atLeast"/>
        </w:trPr>
        <w:tc>
          <w:tcPr>
            <w:tcW w:w="91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0001</w:t>
            </w:r>
          </w:p>
        </w:tc>
        <w:tc>
          <w:tcPr>
            <w:tcW w:w="175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200.017.0001-2</w:t>
            </w:r>
          </w:p>
        </w:tc>
        <w:tc>
          <w:tcPr>
            <w:tcW w:w="2265"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Av. Valentim Gentil, 303 (antigo n.º 805)</w:t>
            </w:r>
          </w:p>
        </w:tc>
        <w:tc>
          <w:tcPr>
            <w:tcW w:w="2271"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Altura máxima = 10m</w:t>
            </w:r>
          </w:p>
        </w:tc>
        <w:tc>
          <w:tcPr>
            <w:tcW w:w="2100"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jc w:val="center"/>
              <w:rPr>
                <w:rFonts w:ascii="Calibri" w:hAnsi="Calibri" w:cs="Calibri"/>
                <w:sz w:val="22"/>
                <w:szCs w:val="22"/>
              </w:rPr>
            </w:pPr>
            <w:r>
              <w:rPr>
                <w:rFonts w:cs="Calibri" w:ascii="Calibri" w:hAnsi="Calibri"/>
                <w:sz w:val="22"/>
                <w:szCs w:val="22"/>
              </w:rPr>
              <w:t>14.961</w:t>
            </w:r>
          </w:p>
        </w:tc>
      </w:tr>
      <w:tr>
        <w:trPr>
          <w:trHeight w:val="975" w:hRule="atLeast"/>
        </w:trPr>
        <w:tc>
          <w:tcPr>
            <w:tcW w:w="91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0025</w:t>
            </w:r>
          </w:p>
        </w:tc>
        <w:tc>
          <w:tcPr>
            <w:tcW w:w="175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200.020.0025-1</w:t>
            </w:r>
          </w:p>
        </w:tc>
        <w:tc>
          <w:tcPr>
            <w:tcW w:w="2265"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R. Prof. Hilário Magro Junior, 157</w:t>
            </w:r>
          </w:p>
        </w:tc>
        <w:tc>
          <w:tcPr>
            <w:tcW w:w="2271"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Altura máxima = 10m</w:t>
            </w:r>
          </w:p>
        </w:tc>
        <w:tc>
          <w:tcPr>
            <w:tcW w:w="2100"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jc w:val="center"/>
              <w:rPr>
                <w:rFonts w:ascii="Calibri" w:hAnsi="Calibri" w:cs="Calibri"/>
                <w:sz w:val="22"/>
                <w:szCs w:val="22"/>
              </w:rPr>
            </w:pPr>
            <w:r>
              <w:rPr>
                <w:rFonts w:cs="Calibri" w:ascii="Calibri" w:hAnsi="Calibri"/>
                <w:sz w:val="22"/>
                <w:szCs w:val="22"/>
              </w:rPr>
              <w:t>34.872</w:t>
            </w:r>
          </w:p>
        </w:tc>
      </w:tr>
      <w:tr>
        <w:trPr>
          <w:trHeight w:val="1200" w:hRule="atLeast"/>
        </w:trPr>
        <w:tc>
          <w:tcPr>
            <w:tcW w:w="91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0024</w:t>
            </w:r>
          </w:p>
        </w:tc>
        <w:tc>
          <w:tcPr>
            <w:tcW w:w="175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200.020.0024-3</w:t>
            </w:r>
          </w:p>
        </w:tc>
        <w:tc>
          <w:tcPr>
            <w:tcW w:w="2265"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Av. Valentim Gentil, 383</w:t>
            </w:r>
          </w:p>
        </w:tc>
        <w:tc>
          <w:tcPr>
            <w:tcW w:w="2271"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Altura máxima = 10m</w:t>
            </w:r>
          </w:p>
        </w:tc>
        <w:tc>
          <w:tcPr>
            <w:tcW w:w="2100"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jc w:val="center"/>
              <w:rPr>
                <w:rFonts w:ascii="Calibri" w:hAnsi="Calibri" w:cs="Calibri"/>
                <w:sz w:val="22"/>
                <w:szCs w:val="22"/>
              </w:rPr>
            </w:pPr>
            <w:r>
              <w:rPr>
                <w:rFonts w:cs="Calibri" w:ascii="Calibri" w:hAnsi="Calibri"/>
                <w:sz w:val="22"/>
                <w:szCs w:val="22"/>
              </w:rPr>
              <w:t>77.364</w:t>
            </w:r>
          </w:p>
        </w:tc>
      </w:tr>
      <w:tr>
        <w:trPr>
          <w:trHeight w:val="1146" w:hRule="atLeast"/>
        </w:trPr>
        <w:tc>
          <w:tcPr>
            <w:tcW w:w="91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0020</w:t>
            </w:r>
          </w:p>
        </w:tc>
        <w:tc>
          <w:tcPr>
            <w:tcW w:w="175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200.020.0020-0</w:t>
            </w:r>
          </w:p>
        </w:tc>
        <w:tc>
          <w:tcPr>
            <w:tcW w:w="2265"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R. Prof. Hilário Magro Junior, 71</w:t>
            </w:r>
          </w:p>
        </w:tc>
        <w:tc>
          <w:tcPr>
            <w:tcW w:w="2271"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Altura máxima = 10m</w:t>
            </w:r>
          </w:p>
        </w:tc>
        <w:tc>
          <w:tcPr>
            <w:tcW w:w="2100"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jc w:val="center"/>
              <w:rPr>
                <w:rFonts w:ascii="Calibri" w:hAnsi="Calibri" w:cs="Calibri"/>
                <w:sz w:val="22"/>
                <w:szCs w:val="22"/>
              </w:rPr>
            </w:pPr>
            <w:r>
              <w:rPr>
                <w:rFonts w:cs="Calibri" w:ascii="Calibri" w:hAnsi="Calibri"/>
                <w:sz w:val="22"/>
                <w:szCs w:val="22"/>
              </w:rPr>
              <w:t>191.332</w:t>
            </w:r>
          </w:p>
        </w:tc>
      </w:tr>
      <w:tr>
        <w:trPr>
          <w:trHeight w:val="975" w:hRule="atLeast"/>
        </w:trPr>
        <w:tc>
          <w:tcPr>
            <w:tcW w:w="91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0019</w:t>
            </w:r>
          </w:p>
        </w:tc>
        <w:tc>
          <w:tcPr>
            <w:tcW w:w="175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200.020.0019-7</w:t>
            </w:r>
          </w:p>
        </w:tc>
        <w:tc>
          <w:tcPr>
            <w:tcW w:w="2265"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R. Prof. Hilário Magro Junior, 67</w:t>
            </w:r>
          </w:p>
        </w:tc>
        <w:tc>
          <w:tcPr>
            <w:tcW w:w="2271"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Altura máxima = 10m</w:t>
            </w:r>
          </w:p>
        </w:tc>
        <w:tc>
          <w:tcPr>
            <w:tcW w:w="2100"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jc w:val="center"/>
              <w:rPr>
                <w:rFonts w:ascii="Calibri" w:hAnsi="Calibri" w:cs="Calibri"/>
                <w:sz w:val="22"/>
                <w:szCs w:val="22"/>
              </w:rPr>
            </w:pPr>
            <w:r>
              <w:rPr>
                <w:rFonts w:cs="Calibri" w:ascii="Calibri" w:hAnsi="Calibri"/>
                <w:sz w:val="22"/>
                <w:szCs w:val="22"/>
              </w:rPr>
              <w:t>158.388</w:t>
            </w:r>
          </w:p>
        </w:tc>
      </w:tr>
      <w:tr>
        <w:trPr>
          <w:trHeight w:val="975" w:hRule="atLeast"/>
        </w:trPr>
        <w:tc>
          <w:tcPr>
            <w:tcW w:w="91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0018</w:t>
            </w:r>
          </w:p>
        </w:tc>
        <w:tc>
          <w:tcPr>
            <w:tcW w:w="175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200.020.0018-9</w:t>
            </w:r>
          </w:p>
        </w:tc>
        <w:tc>
          <w:tcPr>
            <w:tcW w:w="2265"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R. Prof. Hilário Magro Junior, 0</w:t>
            </w:r>
          </w:p>
        </w:tc>
        <w:tc>
          <w:tcPr>
            <w:tcW w:w="2271"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Altura máxima = 10m</w:t>
            </w:r>
          </w:p>
        </w:tc>
        <w:tc>
          <w:tcPr>
            <w:tcW w:w="2100"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jc w:val="center"/>
              <w:rPr>
                <w:rFonts w:ascii="Calibri" w:hAnsi="Calibri" w:cs="Calibri"/>
                <w:sz w:val="22"/>
                <w:szCs w:val="22"/>
              </w:rPr>
            </w:pPr>
            <w:r>
              <w:rPr>
                <w:rFonts w:cs="Calibri" w:ascii="Calibri" w:hAnsi="Calibri"/>
                <w:sz w:val="22"/>
                <w:szCs w:val="22"/>
              </w:rPr>
              <w:t>15.746</w:t>
            </w:r>
          </w:p>
        </w:tc>
      </w:tr>
      <w:tr>
        <w:trPr>
          <w:trHeight w:val="975" w:hRule="atLeast"/>
        </w:trPr>
        <w:tc>
          <w:tcPr>
            <w:tcW w:w="91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0017</w:t>
            </w:r>
          </w:p>
        </w:tc>
        <w:tc>
          <w:tcPr>
            <w:tcW w:w="175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200.020.0017-0</w:t>
            </w:r>
          </w:p>
        </w:tc>
        <w:tc>
          <w:tcPr>
            <w:tcW w:w="2265"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R. Prof. Hilário Magro Junior, 41 (antigo n.º 63)</w:t>
            </w:r>
          </w:p>
        </w:tc>
        <w:tc>
          <w:tcPr>
            <w:tcW w:w="2271"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Altura máxima = 10m</w:t>
            </w:r>
          </w:p>
        </w:tc>
        <w:tc>
          <w:tcPr>
            <w:tcW w:w="2100"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jc w:val="center"/>
              <w:rPr>
                <w:rFonts w:ascii="Calibri" w:hAnsi="Calibri" w:cs="Calibri"/>
                <w:sz w:val="22"/>
                <w:szCs w:val="22"/>
              </w:rPr>
            </w:pPr>
            <w:r>
              <w:rPr>
                <w:rFonts w:cs="Calibri" w:ascii="Calibri" w:hAnsi="Calibri"/>
                <w:sz w:val="22"/>
                <w:szCs w:val="22"/>
              </w:rPr>
              <w:t>77.701</w:t>
            </w:r>
          </w:p>
        </w:tc>
      </w:tr>
      <w:tr>
        <w:trPr>
          <w:trHeight w:val="1200" w:hRule="atLeast"/>
        </w:trPr>
        <w:tc>
          <w:tcPr>
            <w:tcW w:w="91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0016</w:t>
            </w:r>
          </w:p>
        </w:tc>
        <w:tc>
          <w:tcPr>
            <w:tcW w:w="175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200.020.0016-2</w:t>
            </w:r>
          </w:p>
        </w:tc>
        <w:tc>
          <w:tcPr>
            <w:tcW w:w="2265"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R. Prof. Hilário Magro Junior, 31</w:t>
            </w:r>
          </w:p>
        </w:tc>
        <w:tc>
          <w:tcPr>
            <w:tcW w:w="2271"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Altura máxima = 10m</w:t>
            </w:r>
          </w:p>
        </w:tc>
        <w:tc>
          <w:tcPr>
            <w:tcW w:w="2100"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jc w:val="center"/>
              <w:rPr>
                <w:rFonts w:ascii="Calibri" w:hAnsi="Calibri" w:cs="Calibri"/>
                <w:sz w:val="22"/>
                <w:szCs w:val="22"/>
              </w:rPr>
            </w:pPr>
            <w:r>
              <w:rPr>
                <w:rFonts w:cs="Calibri" w:ascii="Calibri" w:hAnsi="Calibri"/>
                <w:sz w:val="22"/>
                <w:szCs w:val="22"/>
              </w:rPr>
              <w:t>150.972</w:t>
            </w:r>
          </w:p>
        </w:tc>
      </w:tr>
      <w:tr>
        <w:trPr>
          <w:trHeight w:val="1063" w:hRule="atLeast"/>
        </w:trPr>
        <w:tc>
          <w:tcPr>
            <w:tcW w:w="91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0015</w:t>
            </w:r>
          </w:p>
        </w:tc>
        <w:tc>
          <w:tcPr>
            <w:tcW w:w="175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200.020.0015-4</w:t>
            </w:r>
          </w:p>
        </w:tc>
        <w:tc>
          <w:tcPr>
            <w:tcW w:w="2265"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R. Prof. Hilário Magro Junior, 23</w:t>
            </w:r>
          </w:p>
        </w:tc>
        <w:tc>
          <w:tcPr>
            <w:tcW w:w="2271"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Altura máxima = 10m</w:t>
            </w:r>
          </w:p>
        </w:tc>
        <w:tc>
          <w:tcPr>
            <w:tcW w:w="2100"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jc w:val="center"/>
              <w:rPr>
                <w:rFonts w:ascii="Calibri" w:hAnsi="Calibri" w:cs="Calibri"/>
                <w:sz w:val="22"/>
                <w:szCs w:val="22"/>
              </w:rPr>
            </w:pPr>
            <w:r>
              <w:rPr>
                <w:rFonts w:cs="Calibri" w:ascii="Calibri" w:hAnsi="Calibri"/>
                <w:sz w:val="22"/>
                <w:szCs w:val="22"/>
              </w:rPr>
              <w:t>45.015</w:t>
            </w:r>
          </w:p>
        </w:tc>
      </w:tr>
      <w:tr>
        <w:trPr>
          <w:trHeight w:val="975" w:hRule="atLeast"/>
        </w:trPr>
        <w:tc>
          <w:tcPr>
            <w:tcW w:w="91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0010</w:t>
            </w:r>
          </w:p>
        </w:tc>
        <w:tc>
          <w:tcPr>
            <w:tcW w:w="175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200.020.0010-3</w:t>
            </w:r>
          </w:p>
        </w:tc>
        <w:tc>
          <w:tcPr>
            <w:tcW w:w="2265"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R. Prof. Horácio Berlinck, 30</w:t>
            </w:r>
          </w:p>
        </w:tc>
        <w:tc>
          <w:tcPr>
            <w:tcW w:w="2271"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Altura máxima = 10m</w:t>
            </w:r>
          </w:p>
        </w:tc>
        <w:tc>
          <w:tcPr>
            <w:tcW w:w="2100"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jc w:val="center"/>
              <w:rPr>
                <w:rFonts w:ascii="Calibri" w:hAnsi="Calibri" w:cs="Calibri"/>
                <w:sz w:val="22"/>
                <w:szCs w:val="22"/>
              </w:rPr>
            </w:pPr>
            <w:r>
              <w:rPr>
                <w:rFonts w:cs="Calibri" w:ascii="Calibri" w:hAnsi="Calibri"/>
                <w:sz w:val="22"/>
                <w:szCs w:val="22"/>
              </w:rPr>
              <w:t>50.977</w:t>
            </w:r>
          </w:p>
        </w:tc>
      </w:tr>
      <w:tr>
        <w:trPr>
          <w:trHeight w:val="975" w:hRule="atLeast"/>
        </w:trPr>
        <w:tc>
          <w:tcPr>
            <w:tcW w:w="91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0009</w:t>
            </w:r>
          </w:p>
        </w:tc>
        <w:tc>
          <w:tcPr>
            <w:tcW w:w="175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200.020.0009-1</w:t>
            </w:r>
          </w:p>
        </w:tc>
        <w:tc>
          <w:tcPr>
            <w:tcW w:w="2265"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R. Prof. Horácio Berlinck, 44</w:t>
            </w:r>
          </w:p>
        </w:tc>
        <w:tc>
          <w:tcPr>
            <w:tcW w:w="2271"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Altura máxima = 10m</w:t>
            </w:r>
          </w:p>
        </w:tc>
        <w:tc>
          <w:tcPr>
            <w:tcW w:w="2100"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jc w:val="center"/>
              <w:rPr>
                <w:rFonts w:ascii="Calibri" w:hAnsi="Calibri" w:cs="Calibri"/>
                <w:sz w:val="22"/>
                <w:szCs w:val="22"/>
              </w:rPr>
            </w:pPr>
            <w:r>
              <w:rPr>
                <w:rFonts w:cs="Calibri" w:ascii="Calibri" w:hAnsi="Calibri"/>
                <w:sz w:val="22"/>
                <w:szCs w:val="22"/>
              </w:rPr>
              <w:t>120.881</w:t>
            </w:r>
          </w:p>
        </w:tc>
      </w:tr>
      <w:tr>
        <w:trPr>
          <w:trHeight w:val="975" w:hRule="atLeast"/>
        </w:trPr>
        <w:tc>
          <w:tcPr>
            <w:tcW w:w="91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0008</w:t>
            </w:r>
          </w:p>
        </w:tc>
        <w:tc>
          <w:tcPr>
            <w:tcW w:w="175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200.020.0008-1</w:t>
            </w:r>
          </w:p>
        </w:tc>
        <w:tc>
          <w:tcPr>
            <w:tcW w:w="2265"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R. Prof. Horácio Berlinck, 52</w:t>
            </w:r>
          </w:p>
        </w:tc>
        <w:tc>
          <w:tcPr>
            <w:tcW w:w="2271"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Altura máxima = 10m</w:t>
            </w:r>
          </w:p>
        </w:tc>
        <w:tc>
          <w:tcPr>
            <w:tcW w:w="2100"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jc w:val="center"/>
              <w:rPr>
                <w:rFonts w:ascii="Calibri" w:hAnsi="Calibri" w:cs="Calibri"/>
                <w:sz w:val="22"/>
                <w:szCs w:val="22"/>
              </w:rPr>
            </w:pPr>
            <w:r>
              <w:rPr>
                <w:rFonts w:cs="Calibri" w:ascii="Calibri" w:hAnsi="Calibri"/>
                <w:sz w:val="22"/>
                <w:szCs w:val="22"/>
              </w:rPr>
              <w:t>166.256</w:t>
            </w:r>
          </w:p>
        </w:tc>
      </w:tr>
      <w:tr>
        <w:trPr>
          <w:trHeight w:val="750" w:hRule="atLeast"/>
        </w:trPr>
        <w:tc>
          <w:tcPr>
            <w:tcW w:w="91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0007</w:t>
            </w:r>
          </w:p>
        </w:tc>
        <w:tc>
          <w:tcPr>
            <w:tcW w:w="175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200.020.0007-3</w:t>
            </w:r>
          </w:p>
        </w:tc>
        <w:tc>
          <w:tcPr>
            <w:tcW w:w="2265"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R. Prof. Horácio Berlinck, 72 (n.º 84 pela averbação n.º do registro imobiliário)</w:t>
            </w:r>
          </w:p>
        </w:tc>
        <w:tc>
          <w:tcPr>
            <w:tcW w:w="2271"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eastAsia="Calibri" w:cs="Calibri"/>
                <w:iCs/>
                <w:sz w:val="22"/>
                <w:szCs w:val="22"/>
              </w:rPr>
            </w:pPr>
            <w:r>
              <w:rPr>
                <w:rFonts w:eastAsia="Calibri" w:cs="Calibri" w:ascii="Calibri" w:hAnsi="Calibri"/>
                <w:iCs/>
                <w:sz w:val="22"/>
                <w:szCs w:val="22"/>
              </w:rPr>
              <w:t>Altura máxima = 10m</w:t>
            </w:r>
          </w:p>
        </w:tc>
        <w:tc>
          <w:tcPr>
            <w:tcW w:w="2100"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jc w:val="center"/>
              <w:rPr>
                <w:rFonts w:ascii="Calibri" w:hAnsi="Calibri" w:cs="Calibri"/>
                <w:sz w:val="22"/>
                <w:szCs w:val="22"/>
              </w:rPr>
            </w:pPr>
            <w:r>
              <w:rPr>
                <w:rFonts w:cs="Calibri" w:ascii="Calibri" w:hAnsi="Calibri"/>
                <w:sz w:val="22"/>
                <w:szCs w:val="22"/>
              </w:rPr>
              <w:t>Transcrição 92.219 do 10º CRI</w:t>
            </w:r>
          </w:p>
        </w:tc>
      </w:tr>
      <w:tr>
        <w:trPr>
          <w:trHeight w:val="975" w:hRule="atLeast"/>
        </w:trPr>
        <w:tc>
          <w:tcPr>
            <w:tcW w:w="91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0006</w:t>
            </w:r>
          </w:p>
        </w:tc>
        <w:tc>
          <w:tcPr>
            <w:tcW w:w="175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200.020.0006-5</w:t>
            </w:r>
          </w:p>
        </w:tc>
        <w:tc>
          <w:tcPr>
            <w:tcW w:w="2265"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R. Prof. Horácio Berlinck, 84</w:t>
            </w:r>
          </w:p>
        </w:tc>
        <w:tc>
          <w:tcPr>
            <w:tcW w:w="2271"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Altura máxima = 10m</w:t>
            </w:r>
          </w:p>
        </w:tc>
        <w:tc>
          <w:tcPr>
            <w:tcW w:w="2100"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jc w:val="center"/>
              <w:rPr>
                <w:rFonts w:ascii="Calibri" w:hAnsi="Calibri" w:cs="Calibri"/>
                <w:sz w:val="22"/>
                <w:szCs w:val="22"/>
              </w:rPr>
            </w:pPr>
            <w:r>
              <w:rPr>
                <w:rFonts w:cs="Calibri" w:ascii="Calibri" w:hAnsi="Calibri"/>
                <w:sz w:val="22"/>
                <w:szCs w:val="22"/>
              </w:rPr>
              <w:t>76.789</w:t>
            </w:r>
          </w:p>
        </w:tc>
      </w:tr>
      <w:tr>
        <w:trPr>
          <w:trHeight w:val="975" w:hRule="atLeast"/>
        </w:trPr>
        <w:tc>
          <w:tcPr>
            <w:tcW w:w="91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0026</w:t>
            </w:r>
          </w:p>
        </w:tc>
        <w:tc>
          <w:tcPr>
            <w:tcW w:w="175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200.020.0026-1</w:t>
            </w:r>
          </w:p>
        </w:tc>
        <w:tc>
          <w:tcPr>
            <w:tcW w:w="2265"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R. Prof. Horácio Berlinck, 100</w:t>
            </w:r>
          </w:p>
        </w:tc>
        <w:tc>
          <w:tcPr>
            <w:tcW w:w="2271"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Altura máxima = 10m</w:t>
            </w:r>
          </w:p>
        </w:tc>
        <w:tc>
          <w:tcPr>
            <w:tcW w:w="2100"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jc w:val="center"/>
              <w:rPr>
                <w:rFonts w:ascii="Calibri" w:hAnsi="Calibri" w:cs="Calibri"/>
                <w:sz w:val="22"/>
                <w:szCs w:val="22"/>
              </w:rPr>
            </w:pPr>
            <w:r>
              <w:rPr>
                <w:rFonts w:cs="Calibri" w:ascii="Calibri" w:hAnsi="Calibri"/>
                <w:sz w:val="22"/>
                <w:szCs w:val="22"/>
              </w:rPr>
              <w:t>172.671</w:t>
            </w:r>
          </w:p>
        </w:tc>
      </w:tr>
      <w:tr>
        <w:trPr>
          <w:trHeight w:val="975" w:hRule="atLeast"/>
        </w:trPr>
        <w:tc>
          <w:tcPr>
            <w:tcW w:w="91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0003</w:t>
            </w:r>
          </w:p>
        </w:tc>
        <w:tc>
          <w:tcPr>
            <w:tcW w:w="175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200.020.0003-0</w:t>
            </w:r>
          </w:p>
        </w:tc>
        <w:tc>
          <w:tcPr>
            <w:tcW w:w="2265"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R. Prof. Horácio Berlinck, 124</w:t>
            </w:r>
          </w:p>
        </w:tc>
        <w:tc>
          <w:tcPr>
            <w:tcW w:w="2271"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Altura máxima = 10m</w:t>
            </w:r>
          </w:p>
        </w:tc>
        <w:tc>
          <w:tcPr>
            <w:tcW w:w="2100"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jc w:val="center"/>
              <w:rPr>
                <w:rFonts w:ascii="Calibri" w:hAnsi="Calibri" w:cs="Calibri"/>
                <w:sz w:val="22"/>
                <w:szCs w:val="22"/>
              </w:rPr>
            </w:pPr>
            <w:r>
              <w:rPr>
                <w:rFonts w:cs="Calibri" w:ascii="Calibri" w:hAnsi="Calibri"/>
                <w:sz w:val="22"/>
                <w:szCs w:val="22"/>
              </w:rPr>
              <w:t>23.744</w:t>
            </w:r>
          </w:p>
        </w:tc>
      </w:tr>
      <w:tr>
        <w:trPr>
          <w:trHeight w:val="944" w:hRule="atLeast"/>
        </w:trPr>
        <w:tc>
          <w:tcPr>
            <w:tcW w:w="91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0002</w:t>
            </w:r>
          </w:p>
        </w:tc>
        <w:tc>
          <w:tcPr>
            <w:tcW w:w="175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200.020.0002-2</w:t>
            </w:r>
          </w:p>
        </w:tc>
        <w:tc>
          <w:tcPr>
            <w:tcW w:w="2265"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R. Prof. Horácio Berlinck, 146</w:t>
            </w:r>
          </w:p>
        </w:tc>
        <w:tc>
          <w:tcPr>
            <w:tcW w:w="2271"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Altura máxima = 10m</w:t>
            </w:r>
          </w:p>
        </w:tc>
        <w:tc>
          <w:tcPr>
            <w:tcW w:w="2100"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jc w:val="center"/>
              <w:rPr>
                <w:rFonts w:ascii="Calibri" w:hAnsi="Calibri" w:cs="Calibri"/>
                <w:sz w:val="22"/>
                <w:szCs w:val="22"/>
              </w:rPr>
            </w:pPr>
            <w:r>
              <w:rPr>
                <w:rFonts w:cs="Calibri" w:ascii="Calibri" w:hAnsi="Calibri"/>
                <w:sz w:val="22"/>
                <w:szCs w:val="22"/>
              </w:rPr>
              <w:t>219.167</w:t>
            </w:r>
          </w:p>
        </w:tc>
      </w:tr>
      <w:tr>
        <w:trPr>
          <w:trHeight w:val="975" w:hRule="atLeast"/>
        </w:trPr>
        <w:tc>
          <w:tcPr>
            <w:tcW w:w="91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0001</w:t>
            </w:r>
          </w:p>
        </w:tc>
        <w:tc>
          <w:tcPr>
            <w:tcW w:w="1752"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200.020.0001-4</w:t>
            </w:r>
          </w:p>
        </w:tc>
        <w:tc>
          <w:tcPr>
            <w:tcW w:w="2265"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R. Prof. Horácio Berlinck, 166</w:t>
            </w:r>
          </w:p>
        </w:tc>
        <w:tc>
          <w:tcPr>
            <w:tcW w:w="2271"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jc w:val="center"/>
              <w:rPr>
                <w:rFonts w:ascii="Calibri" w:hAnsi="Calibri" w:cs="Calibri"/>
                <w:iCs/>
                <w:sz w:val="22"/>
                <w:szCs w:val="22"/>
              </w:rPr>
            </w:pPr>
            <w:r>
              <w:rPr>
                <w:rFonts w:eastAsia="Calibri" w:cs="Calibri" w:ascii="Calibri" w:hAnsi="Calibri"/>
                <w:iCs/>
                <w:sz w:val="22"/>
                <w:szCs w:val="22"/>
              </w:rPr>
              <w:t>Altura máxima = 10m</w:t>
            </w:r>
          </w:p>
        </w:tc>
        <w:tc>
          <w:tcPr>
            <w:tcW w:w="2100" w:type="dxa"/>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jc w:val="center"/>
              <w:rPr>
                <w:rFonts w:ascii="Calibri" w:hAnsi="Calibri" w:cs="Calibri"/>
                <w:sz w:val="22"/>
                <w:szCs w:val="22"/>
              </w:rPr>
            </w:pPr>
            <w:r>
              <w:rPr>
                <w:rFonts w:cs="Calibri" w:ascii="Calibri" w:hAnsi="Calibri"/>
                <w:sz w:val="22"/>
                <w:szCs w:val="22"/>
              </w:rPr>
              <w:t>206.958</w:t>
            </w:r>
          </w:p>
        </w:tc>
      </w:tr>
    </w:tbl>
    <w:p>
      <w:pPr>
        <w:pStyle w:val="Normal"/>
        <w:spacing w:lineRule="auto" w:line="240" w:beforeAutospacing="1" w:after="0"/>
        <w:jc w:val="both"/>
        <w:rPr>
          <w:rFonts w:ascii="Calibri" w:hAnsi="Calibri"/>
          <w:sz w:val="22"/>
          <w:szCs w:val="22"/>
        </w:rPr>
      </w:pPr>
      <w:r>
        <w:rPr>
          <w:rFonts w:ascii="Calibri" w:hAnsi="Calibri"/>
          <w:sz w:val="22"/>
          <w:szCs w:val="22"/>
        </w:rPr>
      </w:r>
    </w:p>
    <w:p>
      <w:pPr>
        <w:pStyle w:val="Normal"/>
        <w:spacing w:lineRule="auto" w:line="240" w:beforeAutospacing="1" w:after="0"/>
        <w:jc w:val="both"/>
        <w:rPr>
          <w:rFonts w:ascii="Calibri" w:hAnsi="Calibri"/>
          <w:sz w:val="22"/>
          <w:szCs w:val="22"/>
        </w:rPr>
      </w:pPr>
      <w:r>
        <w:rPr>
          <w:rFonts w:eastAsia="Times New Roman" w:cs="Times New Roman" w:ascii="Calibri" w:hAnsi="Calibri"/>
          <w:b/>
          <w:bCs/>
          <w:color w:val="000000"/>
          <w:sz w:val="22"/>
          <w:szCs w:val="22"/>
          <w:lang w:eastAsia="pt-BR"/>
        </w:rPr>
        <w:t xml:space="preserve">Artigo 2º </w:t>
      </w:r>
      <w:r>
        <w:rPr>
          <w:rFonts w:eastAsia="Times New Roman" w:cs="Times New Roman" w:ascii="Calibri" w:hAnsi="Calibri"/>
          <w:color w:val="000000"/>
          <w:sz w:val="22"/>
          <w:szCs w:val="22"/>
          <w:lang w:eastAsia="pt-BR"/>
        </w:rPr>
        <w:t>– Acrescentar, na Resolução 34/CONPRESP/2018, o artigo 4º e seu parágrafo único, com as seguintes redações:</w:t>
      </w:r>
    </w:p>
    <w:p>
      <w:pPr>
        <w:pStyle w:val="Normal"/>
        <w:spacing w:lineRule="auto" w:line="240" w:beforeAutospacing="1" w:after="0"/>
        <w:ind w:left="705" w:hanging="0"/>
        <w:jc w:val="both"/>
        <w:rPr>
          <w:rFonts w:ascii="Calibri" w:hAnsi="Calibri"/>
          <w:sz w:val="22"/>
          <w:szCs w:val="22"/>
        </w:rPr>
      </w:pPr>
      <w:r>
        <w:rPr>
          <w:rFonts w:eastAsia="Times New Roman" w:cs="Times New Roman" w:ascii="Calibri" w:hAnsi="Calibri"/>
          <w:color w:val="000000"/>
          <w:sz w:val="22"/>
          <w:szCs w:val="22"/>
          <w:lang w:eastAsia="pt-BR"/>
        </w:rPr>
        <w:t>“</w:t>
      </w:r>
      <w:r>
        <w:rPr>
          <w:rFonts w:eastAsia="Times New Roman" w:cs="Times New Roman" w:ascii="Calibri" w:hAnsi="Calibri"/>
          <w:color w:val="000000"/>
          <w:sz w:val="22"/>
          <w:szCs w:val="22"/>
          <w:lang w:eastAsia="pt-BR"/>
        </w:rPr>
        <w:t>Artigo 4º - A Em razão dos parâmetros fixados a serem observados pelos órgãos de licenciamento edilício (Secretaria Municipal de Urbanismo e Licenciamento e respectivas Subprefeituras), ficam dispensadas da prévia análise do DPH e da aprovação do DPH ou do CONPRESP as intervenções nos imóveis definidos como área envoltória.</w:t>
      </w:r>
    </w:p>
    <w:p>
      <w:pPr>
        <w:pStyle w:val="Normal"/>
        <w:spacing w:lineRule="auto" w:line="240" w:beforeAutospacing="1" w:after="0"/>
        <w:ind w:left="705" w:hanging="0"/>
        <w:jc w:val="both"/>
        <w:rPr>
          <w:rFonts w:ascii="Calibri" w:hAnsi="Calibri"/>
          <w:sz w:val="22"/>
          <w:szCs w:val="22"/>
        </w:rPr>
      </w:pPr>
      <w:r>
        <w:rPr>
          <w:rFonts w:eastAsia="Times New Roman" w:cs="Times New Roman" w:ascii="Calibri" w:hAnsi="Calibri"/>
          <w:color w:val="000000"/>
          <w:sz w:val="22"/>
          <w:szCs w:val="22"/>
          <w:lang w:eastAsia="pt-BR"/>
        </w:rPr>
        <w:t>Parágrafo Único - O CONPRESP e/ou o Departamento do Patrimônio Histórico – DPH poderão, a qualquer tempo e desde que julgado necessário, requerer os processos referentes aos imóveis descritos na presente Resolução para fins de análise técnica e eventual despacho decisório, visando à verificação do correto atendimento das disposições da presente Resolução”</w:t>
      </w:r>
    </w:p>
    <w:p>
      <w:pPr>
        <w:pStyle w:val="Normal"/>
        <w:spacing w:lineRule="auto" w:line="240" w:beforeAutospacing="1" w:after="0"/>
        <w:jc w:val="both"/>
        <w:rPr>
          <w:rFonts w:ascii="Calibri" w:hAnsi="Calibri"/>
          <w:sz w:val="22"/>
          <w:szCs w:val="22"/>
        </w:rPr>
      </w:pPr>
      <w:r>
        <w:rPr>
          <w:rFonts w:eastAsia="Times New Roman" w:cs="Times New Roman" w:ascii="Calibri" w:hAnsi="Calibri"/>
          <w:b/>
          <w:bCs/>
          <w:color w:val="000000"/>
          <w:sz w:val="22"/>
          <w:szCs w:val="22"/>
          <w:lang w:eastAsia="pt-BR"/>
        </w:rPr>
        <w:t xml:space="preserve">Artigo 3º - </w:t>
      </w:r>
      <w:r>
        <w:rPr>
          <w:rFonts w:eastAsia="Times New Roman" w:cs="Times New Roman" w:ascii="Calibri" w:hAnsi="Calibri"/>
          <w:color w:val="000000"/>
          <w:sz w:val="22"/>
          <w:szCs w:val="22"/>
          <w:lang w:eastAsia="pt-BR"/>
        </w:rPr>
        <w:t>Renumerar o artigo 4º da Resolução 34/CONPRESP/2018, que passa a vigorar como artigo 5º.</w:t>
      </w:r>
    </w:p>
    <w:p>
      <w:pPr>
        <w:pStyle w:val="Normal"/>
        <w:spacing w:lineRule="auto" w:line="240" w:beforeAutospacing="1" w:after="0"/>
        <w:jc w:val="both"/>
        <w:rPr>
          <w:rFonts w:ascii="Calibri" w:hAnsi="Calibri"/>
          <w:sz w:val="22"/>
          <w:szCs w:val="22"/>
        </w:rPr>
      </w:pPr>
      <w:r>
        <w:rPr>
          <w:rFonts w:eastAsia="Times New Roman" w:cs="Times New Roman" w:ascii="Calibri" w:hAnsi="Calibri"/>
          <w:b/>
          <w:bCs/>
          <w:color w:val="000000"/>
          <w:sz w:val="22"/>
          <w:szCs w:val="22"/>
          <w:lang w:eastAsia="pt-BR"/>
        </w:rPr>
        <w:t xml:space="preserve">Artigo 4º </w:t>
      </w:r>
      <w:r>
        <w:rPr>
          <w:rFonts w:eastAsia="Times New Roman" w:cs="Times New Roman" w:ascii="Calibri" w:hAnsi="Calibri"/>
          <w:color w:val="000000"/>
          <w:sz w:val="22"/>
          <w:szCs w:val="22"/>
          <w:lang w:eastAsia="pt-BR"/>
        </w:rPr>
        <w:t>- Esta Resolução entra em vigor na data de sua publicação, revogadas as disposições em contrário.</w:t>
      </w:r>
    </w:p>
    <w:p>
      <w:pPr>
        <w:pStyle w:val="Normal"/>
        <w:spacing w:lineRule="auto" w:line="240" w:beforeAutospacing="1" w:after="0"/>
        <w:jc w:val="both"/>
        <w:rPr>
          <w:rFonts w:ascii="Calibri" w:hAnsi="Calibri"/>
          <w:sz w:val="22"/>
          <w:szCs w:val="22"/>
        </w:rPr>
      </w:pPr>
      <w:r>
        <w:rPr>
          <w:rFonts w:ascii="Calibri" w:hAnsi="Calibri"/>
          <w:sz w:val="22"/>
          <w:szCs w:val="22"/>
        </w:rPr>
        <w:t xml:space="preserve">DOC 11/05/2023 – P. </w:t>
      </w:r>
      <w:r>
        <w:rPr>
          <w:rFonts w:ascii="Calibri" w:hAnsi="Calibri"/>
          <w:sz w:val="22"/>
          <w:szCs w:val="22"/>
        </w:rPr>
        <w:t>95</w:t>
      </w:r>
    </w:p>
    <w:sectPr>
      <w:headerReference w:type="default" r:id="rId2"/>
      <w:type w:val="nextPage"/>
      <w:pgSz w:w="11906" w:h="16838"/>
      <w:pgMar w:left="1418" w:right="1134" w:header="851" w:top="2035"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Unicode MS">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rFonts w:ascii="Arial" w:hAnsi="Arial"/>
        <w:b/>
        <w:b/>
        <w:sz w:val="22"/>
        <w:szCs w:val="22"/>
      </w:rPr>
    </w:pPr>
    <w:r>
      <mc:AlternateContent>
        <mc:Choice Requires="wps">
          <w:drawing>
            <wp:anchor behindDoc="1" distT="0" distB="0" distL="89535" distR="89535" simplePos="0" locked="0" layoutInCell="0" allowOverlap="1" relativeHeight="14">
              <wp:simplePos x="0" y="0"/>
              <wp:positionH relativeFrom="page">
                <wp:posOffset>716915</wp:posOffset>
              </wp:positionH>
              <wp:positionV relativeFrom="paragraph">
                <wp:posOffset>-37465</wp:posOffset>
              </wp:positionV>
              <wp:extent cx="721360" cy="732790"/>
              <wp:effectExtent l="0" t="0" r="0" b="0"/>
              <wp:wrapTopAndBottom/>
              <wp:docPr id="1" name="Quadro1"/>
              <a:graphic xmlns:a="http://schemas.openxmlformats.org/drawingml/2006/main">
                <a:graphicData uri="http://schemas.microsoft.com/office/word/2010/wordprocessingShape">
                  <wps:wsp>
                    <wps:cNvSpPr/>
                    <wps:spPr>
                      <a:xfrm>
                        <a:off x="0" y="0"/>
                        <a:ext cx="720720" cy="732240"/>
                      </a:xfrm>
                      <a:prstGeom prst="rect">
                        <a:avLst/>
                      </a:prstGeom>
                      <a:noFill/>
                      <a:ln w="0">
                        <a:noFill/>
                      </a:ln>
                    </wps:spPr>
                    <wps:style>
                      <a:lnRef idx="0"/>
                      <a:fillRef idx="0"/>
                      <a:effectRef idx="0"/>
                      <a:fontRef idx="minor"/>
                    </wps:style>
                    <wps:txbx>
                      <w:txbxContent>
                        <w:p>
                          <w:pPr>
                            <w:pStyle w:val="Normal"/>
                            <w:rPr>
                              <w:rFonts w:ascii="Arial" w:hAnsi="Arial"/>
                              <w:b/>
                              <w:b/>
                            </w:rPr>
                          </w:pPr>
                          <w:r>
                            <w:rPr>
                              <w:color w:val="000000"/>
                            </w:rPr>
                            <w:drawing>
                              <wp:inline distT="0" distB="0" distL="0" distR="0">
                                <wp:extent cx="716280" cy="733425"/>
                                <wp:effectExtent l="0" t="0" r="0" b="0"/>
                                <wp:docPr id="3"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descr=""/>
                                        <pic:cNvPicPr>
                                          <a:picLocks noChangeAspect="1" noChangeArrowheads="1"/>
                                        </pic:cNvPicPr>
                                      </pic:nvPicPr>
                                      <pic:blipFill>
                                        <a:blip r:embed="rId1"/>
                                        <a:stretch>
                                          <a:fillRect/>
                                        </a:stretch>
                                      </pic:blipFill>
                                      <pic:spPr bwMode="auto">
                                        <a:xfrm>
                                          <a:off x="0" y="0"/>
                                          <a:ext cx="716280" cy="733425"/>
                                        </a:xfrm>
                                        <a:prstGeom prst="rect">
                                          <a:avLst/>
                                        </a:prstGeom>
                                      </pic:spPr>
                                    </pic:pic>
                                  </a:graphicData>
                                </a:graphic>
                              </wp:inline>
                            </w:drawing>
                          </w:r>
                        </w:p>
                      </w:txbxContent>
                    </wps:txbx>
                    <wps:bodyPr lIns="0" rIns="0" tIns="0" bIns="0">
                      <a:spAutoFit/>
                    </wps:bodyPr>
                  </wps:wsp>
                </a:graphicData>
              </a:graphic>
            </wp:anchor>
          </w:drawing>
        </mc:Choice>
        <mc:Fallback>
          <w:pict>
            <v:rect id="shape_0" ID="Quadro1" path="m0,0l-2147483645,0l-2147483645,-2147483646l0,-2147483646xe" stroked="f" style="position:absolute;margin-left:56.45pt;margin-top:-2.95pt;width:56.7pt;height:57.6pt;mso-wrap-style:none;v-text-anchor:middle;mso-position-horizontal-relative:page">
              <v:fill o:detectmouseclick="t" on="false"/>
              <v:stroke color="#3465a4" joinstyle="round" endcap="flat"/>
              <v:textbox>
                <w:txbxContent>
                  <w:p>
                    <w:pPr>
                      <w:pStyle w:val="Normal"/>
                      <w:rPr>
                        <w:rFonts w:ascii="Arial" w:hAnsi="Arial"/>
                        <w:b/>
                        <w:b/>
                      </w:rPr>
                    </w:pPr>
                    <w:r>
                      <w:rPr>
                        <w:color w:val="000000"/>
                      </w:rPr>
                      <w:drawing>
                        <wp:inline distT="0" distB="0" distL="0" distR="0">
                          <wp:extent cx="716280" cy="733425"/>
                          <wp:effectExtent l="0" t="0" r="0" b="0"/>
                          <wp:docPr id="4"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
                                  <pic:cNvPicPr>
                                    <a:picLocks noChangeAspect="1" noChangeArrowheads="1"/>
                                  </pic:cNvPicPr>
                                </pic:nvPicPr>
                                <pic:blipFill>
                                  <a:blip r:embed="rId1"/>
                                  <a:stretch>
                                    <a:fillRect/>
                                  </a:stretch>
                                </pic:blipFill>
                                <pic:spPr bwMode="auto">
                                  <a:xfrm>
                                    <a:off x="0" y="0"/>
                                    <a:ext cx="716280" cy="733425"/>
                                  </a:xfrm>
                                  <a:prstGeom prst="rect">
                                    <a:avLst/>
                                  </a:prstGeom>
                                </pic:spPr>
                              </pic:pic>
                            </a:graphicData>
                          </a:graphic>
                        </wp:inline>
                      </w:drawing>
                    </w:r>
                  </w:p>
                </w:txbxContent>
              </v:textbox>
              <w10:wrap type="topAndBottom"/>
            </v:rect>
          </w:pict>
        </mc:Fallback>
      </mc:AlternateContent>
    </w:r>
    <w:r>
      <w:rPr>
        <w:rFonts w:ascii="Arial" w:hAnsi="Arial"/>
        <w:b/>
        <w:sz w:val="22"/>
        <w:szCs w:val="22"/>
      </w:rPr>
      <w:t>PREFEITURA DO MUNICÍPIO DE SÃO PAULO</w:t>
    </w:r>
  </w:p>
  <w:p>
    <w:pPr>
      <w:pStyle w:val="Cabealho"/>
      <w:jc w:val="center"/>
      <w:rPr>
        <w:rFonts w:ascii="Arial" w:hAnsi="Arial"/>
        <w:b/>
        <w:b/>
        <w:sz w:val="22"/>
        <w:szCs w:val="22"/>
      </w:rPr>
    </w:pPr>
    <w:r>
      <w:rPr>
        <w:rFonts w:ascii="Arial" w:hAnsi="Arial"/>
        <w:b/>
        <w:sz w:val="22"/>
        <w:szCs w:val="22"/>
      </w:rPr>
      <w:t>SECRETARIA MUNICIPAL DE CULTURA</w:t>
    </w:r>
  </w:p>
  <w:p>
    <w:pPr>
      <w:pStyle w:val="Cabealho"/>
      <w:jc w:val="center"/>
      <w:rPr>
        <w:rFonts w:ascii="Arial" w:hAnsi="Arial"/>
        <w:b/>
        <w:b/>
        <w:sz w:val="22"/>
        <w:szCs w:val="22"/>
      </w:rPr>
    </w:pPr>
    <w:r>
      <w:rPr>
        <w:rFonts w:ascii="Arial" w:hAnsi="Arial"/>
        <w:b/>
        <w:sz w:val="22"/>
        <w:szCs w:val="22"/>
      </w:rPr>
      <w:t>CONPRESP - Conselho Municipal de Preservação do Patrimônio</w:t>
    </w:r>
  </w:p>
  <w:p>
    <w:pPr>
      <w:pStyle w:val="Cabealho"/>
      <w:jc w:val="center"/>
      <w:rPr>
        <w:rFonts w:ascii="Arial" w:hAnsi="Arial"/>
        <w:b/>
        <w:b/>
        <w:sz w:val="22"/>
        <w:szCs w:val="22"/>
      </w:rPr>
    </w:pPr>
    <w:r>
      <w:rPr>
        <w:rFonts w:ascii="Arial" w:hAnsi="Arial"/>
        <w:b/>
        <w:sz w:val="22"/>
        <w:szCs w:val="22"/>
      </w:rPr>
      <w:t>Histórico, Cultural e Ambiental da Cidade de São Paulo</w:t>
    </w:r>
  </w:p>
</w:hdr>
</file>

<file path=word/settings.xml><?xml version="1.0" encoding="utf-8"?>
<w:settings xmlns:w="http://schemas.openxmlformats.org/wordprocessingml/2006/main">
  <w:zoom w:percent="75"/>
  <w:defaultTabStop w:val="708"/>
  <w:autoHyphenation w:val="true"/>
  <w:compat>
    <w:compatSetting w:name="compatibilityMode" w:uri="http://schemas.microsoft.com/office/word" w:val="12"/>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0" w:semiHidden="0" w:unhideWhenUsed="0" w:qFormat="1"/>
    <w:lsdException w:name="Default Paragraph Font" w:uiPriority="1"/>
    <w:lsdException w:name="Body Text Indent" w:uiPriority="0"/>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84bbc"/>
    <w:pPr>
      <w:widowControl/>
      <w:suppressAutoHyphens w:val="tru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Ttulo1">
    <w:name w:val="Heading 1"/>
    <w:basedOn w:val="Normal"/>
    <w:next w:val="Normal"/>
    <w:qFormat/>
    <w:rsid w:val="00444f5f"/>
    <w:pPr>
      <w:keepNext w:val="true"/>
      <w:outlineLvl w:val="0"/>
    </w:pPr>
    <w:rPr>
      <w:rFonts w:ascii="Arial" w:hAnsi="Arial" w:cs="Arial"/>
      <w:b/>
      <w:bCs/>
      <w:sz w:val="21"/>
      <w:szCs w:val="21"/>
      <w:lang w:eastAsia="en-US"/>
    </w:rPr>
  </w:style>
  <w:style w:type="paragraph" w:styleId="Ttulo2">
    <w:name w:val="Heading 2"/>
    <w:basedOn w:val="Normal"/>
    <w:next w:val="Normal"/>
    <w:link w:val="Ttulo2Char"/>
    <w:qFormat/>
    <w:rsid w:val="00444f5f"/>
    <w:pPr>
      <w:keepNext w:val="true"/>
      <w:spacing w:lineRule="auto" w:line="360"/>
      <w:ind w:firstLine="709"/>
      <w:jc w:val="both"/>
      <w:outlineLvl w:val="1"/>
    </w:pPr>
    <w:rPr>
      <w:rFonts w:ascii="Calibri" w:hAnsi="Calibri" w:cs="Arial"/>
      <w:b/>
      <w:bCs/>
      <w:smallCaps/>
    </w:rPr>
  </w:style>
  <w:style w:type="paragraph" w:styleId="Ttulo7">
    <w:name w:val="Heading 7"/>
    <w:basedOn w:val="Normal"/>
    <w:next w:val="Normal"/>
    <w:qFormat/>
    <w:rsid w:val="00444f5f"/>
    <w:pPr>
      <w:keepNext w:val="true"/>
      <w:spacing w:lineRule="auto" w:line="360"/>
      <w:jc w:val="both"/>
      <w:outlineLvl w:val="6"/>
    </w:pPr>
    <w:rPr>
      <w:rFonts w:ascii="Arial" w:hAnsi="Arial" w:cs="Arial"/>
      <w:b/>
      <w:bCs/>
      <w:szCs w:val="23"/>
    </w:rPr>
  </w:style>
  <w:style w:type="character" w:styleId="DefaultParagraphFont" w:default="1">
    <w:name w:val="Default Paragraph Font"/>
    <w:uiPriority w:val="1"/>
    <w:semiHidden/>
    <w:unhideWhenUsed/>
    <w:qFormat/>
    <w:rPr/>
  </w:style>
  <w:style w:type="character" w:styleId="Strong">
    <w:name w:val="Strong"/>
    <w:uiPriority w:val="22"/>
    <w:qFormat/>
    <w:rsid w:val="00444f5f"/>
    <w:rPr>
      <w:b/>
      <w:bCs/>
    </w:rPr>
  </w:style>
  <w:style w:type="character" w:styleId="TtuloChar" w:customStyle="1">
    <w:name w:val="Título Char"/>
    <w:link w:val="Ttulo"/>
    <w:qFormat/>
    <w:rsid w:val="009b2c29"/>
    <w:rPr>
      <w:rFonts w:ascii="Arial" w:hAnsi="Arial" w:cs="Arial"/>
      <w:b/>
      <w:bCs/>
      <w:sz w:val="22"/>
      <w:szCs w:val="22"/>
    </w:rPr>
  </w:style>
  <w:style w:type="character" w:styleId="RecuodecorpodetextoChar" w:customStyle="1">
    <w:name w:val="Recuo de corpo de texto Char"/>
    <w:link w:val="Recuodecorpodetexto"/>
    <w:semiHidden/>
    <w:qFormat/>
    <w:rsid w:val="009b2c29"/>
    <w:rPr>
      <w:rFonts w:ascii="Arial" w:hAnsi="Arial"/>
      <w:sz w:val="24"/>
    </w:rPr>
  </w:style>
  <w:style w:type="character" w:styleId="Corpodetexto2Char" w:customStyle="1">
    <w:name w:val="Corpo de texto 2 Char"/>
    <w:link w:val="Corpodetexto2"/>
    <w:semiHidden/>
    <w:qFormat/>
    <w:rsid w:val="009b2c29"/>
    <w:rPr>
      <w:sz w:val="24"/>
      <w:szCs w:val="24"/>
    </w:rPr>
  </w:style>
  <w:style w:type="character" w:styleId="Ttulo2Char" w:customStyle="1">
    <w:name w:val="Título 2 Char"/>
    <w:basedOn w:val="DefaultParagraphFont"/>
    <w:link w:val="Ttulo2"/>
    <w:qFormat/>
    <w:rsid w:val="00d70b13"/>
    <w:rPr>
      <w:rFonts w:ascii="Calibri" w:hAnsi="Calibri" w:cs="Arial"/>
      <w:b/>
      <w:bCs/>
      <w:smallCaps/>
      <w:sz w:val="24"/>
      <w:szCs w:val="24"/>
    </w:rPr>
  </w:style>
  <w:style w:type="character" w:styleId="CabealhoChar" w:customStyle="1">
    <w:name w:val="Cabeçalho Char"/>
    <w:basedOn w:val="DefaultParagraphFont"/>
    <w:link w:val="Cabealho"/>
    <w:semiHidden/>
    <w:qFormat/>
    <w:rsid w:val="00d70b13"/>
    <w:rPr/>
  </w:style>
  <w:style w:type="character" w:styleId="TextodebaloChar" w:customStyle="1">
    <w:name w:val="Texto de balão Char"/>
    <w:basedOn w:val="DefaultParagraphFont"/>
    <w:link w:val="Textodebalo"/>
    <w:uiPriority w:val="99"/>
    <w:semiHidden/>
    <w:qFormat/>
    <w:rsid w:val="00e4052d"/>
    <w:rPr>
      <w:rFonts w:ascii="Tahoma" w:hAnsi="Tahoma" w:cs="Tahoma"/>
      <w:sz w:val="16"/>
      <w:szCs w:val="16"/>
    </w:rPr>
  </w:style>
  <w:style w:type="character" w:styleId="Nfase">
    <w:name w:val="Ênfase"/>
    <w:basedOn w:val="DefaultParagraphFont"/>
    <w:uiPriority w:val="20"/>
    <w:qFormat/>
    <w:rsid w:val="00ea3e66"/>
    <w:rPr>
      <w:i/>
      <w:iCs/>
    </w:rPr>
  </w:style>
  <w:style w:type="character" w:styleId="CorpodetextoChar" w:customStyle="1">
    <w:name w:val="Corpo de texto Char"/>
    <w:basedOn w:val="DefaultParagraphFont"/>
    <w:link w:val="Corpodetexto"/>
    <w:uiPriority w:val="99"/>
    <w:semiHidden/>
    <w:qFormat/>
    <w:rsid w:val="00e1591c"/>
    <w:rPr>
      <w:sz w:val="24"/>
      <w:szCs w:val="24"/>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uiPriority w:val="99"/>
    <w:semiHidden/>
    <w:rsid w:val="00444f5f"/>
    <w:pPr>
      <w:spacing w:before="0" w:after="12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CabealhoeRodap">
    <w:name w:val="Cabeçalho e Rodapé"/>
    <w:basedOn w:val="Normal"/>
    <w:qFormat/>
    <w:pPr/>
    <w:rPr/>
  </w:style>
  <w:style w:type="paragraph" w:styleId="Cabealho">
    <w:name w:val="Header"/>
    <w:basedOn w:val="Normal"/>
    <w:link w:val="CabealhoChar"/>
    <w:semiHidden/>
    <w:rsid w:val="00444f5f"/>
    <w:pPr>
      <w:tabs>
        <w:tab w:val="clear" w:pos="708"/>
        <w:tab w:val="center" w:pos="4419" w:leader="none"/>
        <w:tab w:val="right" w:pos="8838" w:leader="none"/>
      </w:tabs>
    </w:pPr>
    <w:rPr>
      <w:sz w:val="20"/>
      <w:szCs w:val="20"/>
    </w:rPr>
  </w:style>
  <w:style w:type="paragraph" w:styleId="Rodap">
    <w:name w:val="Footer"/>
    <w:basedOn w:val="Normal"/>
    <w:semiHidden/>
    <w:rsid w:val="00444f5f"/>
    <w:pPr>
      <w:tabs>
        <w:tab w:val="clear" w:pos="708"/>
        <w:tab w:val="center" w:pos="4419" w:leader="none"/>
        <w:tab w:val="right" w:pos="8838" w:leader="none"/>
      </w:tabs>
    </w:pPr>
    <w:rPr/>
  </w:style>
  <w:style w:type="paragraph" w:styleId="Corpodotextorecuado">
    <w:name w:val="Body Text Indent"/>
    <w:basedOn w:val="Normal"/>
    <w:link w:val="RecuodecorpodetextoChar"/>
    <w:semiHidden/>
    <w:rsid w:val="00444f5f"/>
    <w:pPr>
      <w:spacing w:lineRule="auto" w:line="360"/>
      <w:ind w:firstLine="709"/>
      <w:jc w:val="both"/>
    </w:pPr>
    <w:rPr>
      <w:rFonts w:ascii="Arial" w:hAnsi="Arial"/>
      <w:szCs w:val="20"/>
    </w:rPr>
  </w:style>
  <w:style w:type="paragraph" w:styleId="Corpodetexto31" w:customStyle="1">
    <w:name w:val="Corpo de texto 31"/>
    <w:basedOn w:val="Normal"/>
    <w:qFormat/>
    <w:rsid w:val="00444f5f"/>
    <w:pPr>
      <w:overflowPunct w:val="false"/>
      <w:jc w:val="both"/>
    </w:pPr>
    <w:rPr>
      <w:rFonts w:ascii="Arial" w:hAnsi="Arial"/>
      <w:sz w:val="20"/>
      <w:szCs w:val="20"/>
    </w:rPr>
  </w:style>
  <w:style w:type="paragraph" w:styleId="NormalWeb">
    <w:name w:val="Normal (Web)"/>
    <w:basedOn w:val="Normal"/>
    <w:uiPriority w:val="99"/>
    <w:semiHidden/>
    <w:qFormat/>
    <w:rsid w:val="00444f5f"/>
    <w:pPr>
      <w:spacing w:beforeAutospacing="1" w:after="119"/>
    </w:pPr>
    <w:rPr>
      <w:rFonts w:ascii="Arial Unicode MS" w:hAnsi="Arial Unicode MS" w:eastAsia="Arial Unicode MS" w:cs="Arial Unicode MS"/>
    </w:rPr>
  </w:style>
  <w:style w:type="paragraph" w:styleId="Ttulododocumento">
    <w:name w:val="Title"/>
    <w:basedOn w:val="Normal"/>
    <w:link w:val="TtuloChar"/>
    <w:qFormat/>
    <w:rsid w:val="00444f5f"/>
    <w:pPr>
      <w:spacing w:lineRule="auto" w:line="360"/>
      <w:jc w:val="center"/>
    </w:pPr>
    <w:rPr>
      <w:rFonts w:ascii="Arial" w:hAnsi="Arial"/>
      <w:b/>
      <w:bCs/>
      <w:sz w:val="22"/>
      <w:szCs w:val="22"/>
    </w:rPr>
  </w:style>
  <w:style w:type="paragraph" w:styleId="BodyText3">
    <w:name w:val="Body Text 3"/>
    <w:basedOn w:val="Normal"/>
    <w:semiHidden/>
    <w:qFormat/>
    <w:rsid w:val="00444f5f"/>
    <w:pPr>
      <w:jc w:val="both"/>
    </w:pPr>
    <w:rPr>
      <w:rFonts w:ascii="Arial" w:hAnsi="Arial" w:cs="Arial"/>
      <w:color w:val="FF0000"/>
      <w:sz w:val="23"/>
      <w:szCs w:val="23"/>
    </w:rPr>
  </w:style>
  <w:style w:type="paragraph" w:styleId="ListParagraph">
    <w:name w:val="List Paragraph"/>
    <w:basedOn w:val="Normal"/>
    <w:uiPriority w:val="34"/>
    <w:qFormat/>
    <w:rsid w:val="00713829"/>
    <w:pPr>
      <w:ind w:left="720" w:hanging="0"/>
    </w:pPr>
    <w:rPr>
      <w:rFonts w:eastAsia="Calibri"/>
    </w:rPr>
  </w:style>
  <w:style w:type="paragraph" w:styleId="BodyText2">
    <w:name w:val="Body Text 2"/>
    <w:basedOn w:val="Normal"/>
    <w:link w:val="Corpodetexto2Char"/>
    <w:semiHidden/>
    <w:unhideWhenUsed/>
    <w:qFormat/>
    <w:rsid w:val="009b2c29"/>
    <w:pPr>
      <w:spacing w:lineRule="auto" w:line="480" w:before="0" w:after="120"/>
      <w:ind w:firstLine="425"/>
      <w:jc w:val="both"/>
    </w:pPr>
    <w:rPr/>
  </w:style>
  <w:style w:type="paragraph" w:styleId="BalloonText">
    <w:name w:val="Balloon Text"/>
    <w:basedOn w:val="Normal"/>
    <w:link w:val="TextodebaloChar"/>
    <w:uiPriority w:val="99"/>
    <w:semiHidden/>
    <w:unhideWhenUsed/>
    <w:qFormat/>
    <w:rsid w:val="00e4052d"/>
    <w:pPr/>
    <w:rPr>
      <w:rFonts w:ascii="Tahoma" w:hAnsi="Tahoma" w:cs="Tahoma"/>
      <w:sz w:val="16"/>
      <w:szCs w:val="16"/>
    </w:rPr>
  </w:style>
  <w:style w:type="paragraph" w:styleId="Centralizadotimbrearialpequeno" w:customStyle="1">
    <w:name w:val="centralizado_timbre_arial_pequeno"/>
    <w:basedOn w:val="Normal"/>
    <w:qFormat/>
    <w:rsid w:val="00ea3e66"/>
    <w:pPr>
      <w:spacing w:beforeAutospacing="1" w:afterAutospacing="1"/>
    </w:pPr>
    <w:rPr/>
  </w:style>
  <w:style w:type="paragraph" w:styleId="Textojustificadorecuoprimeiralinha" w:customStyle="1">
    <w:name w:val="texto_justificado_recuo_primeira_linha"/>
    <w:basedOn w:val="Normal"/>
    <w:qFormat/>
    <w:rsid w:val="00ea3e66"/>
    <w:pPr>
      <w:spacing w:beforeAutospacing="1" w:afterAutospacing="1"/>
    </w:pPr>
    <w:rPr/>
  </w:style>
  <w:style w:type="paragraph" w:styleId="Tabelatextocentralizado" w:customStyle="1">
    <w:name w:val="tabela_texto_centralizado"/>
    <w:basedOn w:val="Normal"/>
    <w:qFormat/>
    <w:rsid w:val="00ea3e66"/>
    <w:pPr>
      <w:spacing w:beforeAutospacing="1" w:afterAutospacing="1"/>
    </w:pPr>
    <w:rPr/>
  </w:style>
  <w:style w:type="paragraph" w:styleId="Textocentralizadomaiusculasnegrito" w:customStyle="1">
    <w:name w:val="texto_centralizado_maiusculas_negrito"/>
    <w:basedOn w:val="Normal"/>
    <w:qFormat/>
    <w:rsid w:val="00a023d2"/>
    <w:pPr>
      <w:spacing w:beforeAutospacing="1" w:afterAutospacing="1"/>
    </w:pPr>
    <w:rPr/>
  </w:style>
  <w:style w:type="paragraph" w:styleId="Textoalinhadoesquerda" w:customStyle="1">
    <w:name w:val="texto_alinhado_esquerda"/>
    <w:basedOn w:val="Normal"/>
    <w:qFormat/>
    <w:rsid w:val="00a023d2"/>
    <w:pPr>
      <w:spacing w:beforeAutospacing="1" w:afterAutospacing="1"/>
    </w:pPr>
    <w:rPr/>
  </w:style>
  <w:style w:type="paragraph" w:styleId="Default" w:customStyle="1">
    <w:name w:val="Default"/>
    <w:qFormat/>
    <w:rsid w:val="00e1591c"/>
    <w:pPr>
      <w:widowControl/>
      <w:suppressAutoHyphens w:val="true"/>
      <w:bidi w:val="0"/>
      <w:spacing w:before="0" w:after="0"/>
      <w:jc w:val="left"/>
    </w:pPr>
    <w:rPr>
      <w:rFonts w:ascii="Arial" w:hAnsi="Arial" w:eastAsia="Times New Roman" w:cs="Arial"/>
      <w:color w:val="000000"/>
      <w:kern w:val="0"/>
      <w:sz w:val="24"/>
      <w:szCs w:val="24"/>
      <w:lang w:val="pt-BR" w:eastAsia="pt-BR" w:bidi="ar-SA"/>
    </w:rPr>
  </w:style>
  <w:style w:type="paragraph" w:styleId="Centralizadotimbresecretaria" w:customStyle="1">
    <w:name w:val="centralizado_timbre_secretaria"/>
    <w:basedOn w:val="Normal"/>
    <w:qFormat/>
    <w:rsid w:val="007f7193"/>
    <w:pPr>
      <w:spacing w:beforeAutospacing="1" w:afterAutospacing="1"/>
    </w:pP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CellMar>
        <w:top w:w="0" w:type="dxa"/>
        <w:left w:w="108" w:type="dxa"/>
        <w:bottom w:w="0" w:type="dxa"/>
        <w:right w:w="108" w:type="dxa"/>
      </w:tblCellMar>
    </w:tblPr>
  </w:style>
  <w:style w:type="table" w:styleId="Tabelacomgrade">
    <w:name w:val="Table Grid"/>
    <w:basedOn w:val="Tabelanormal"/>
    <w:uiPriority w:val="59"/>
    <w:rsid w:val="00b05f4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E8BA25-6372-4397-8FC1-8B3A63CBE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Application>LibreOffice/7.1.7.2$Windows_X86_64 LibreOffice_project/c6a4e3954236145e2acb0b65f68614365aeee33f</Application>
  <AppVersion>15.0000</AppVersion>
  <Pages>7</Pages>
  <Words>1340</Words>
  <Characters>7126</Characters>
  <CharactersWithSpaces>8175</CharactersWithSpaces>
  <Paragraphs>298</Paragraphs>
  <Company>Maria Ester de Araujo Lopes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2022-09-13T12:54:00Z</dcterms:created>
  <dc:creator>Maria Ester de Araujo Lopes</dc:creator>
  <dc:description/>
  <dc:language>pt-BR</dc:language>
  <cp:lastModifiedBy/>
  <cp:lastPrinted>2023-06-01T15:06:10Z</cp:lastPrinted>
  <dcterms:modified xsi:type="dcterms:W3CDTF">2023-06-01T15:06:02Z</dcterms:modified>
  <cp:revision>15</cp:revision>
  <dc:subject/>
  <dc:title>Folha de Informação n</dc:title>
</cp:coreProperties>
</file>

<file path=docProps/custom.xml><?xml version="1.0" encoding="utf-8"?>
<Properties xmlns="http://schemas.openxmlformats.org/officeDocument/2006/custom-properties" xmlns:vt="http://schemas.openxmlformats.org/officeDocument/2006/docPropsVTypes"/>
</file>